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979" w:rsidRDefault="00533979" w:rsidP="00533979">
      <w:pPr>
        <w:shd w:val="clear" w:color="auto" w:fill="FFD966" w:themeFill="accent4" w:themeFillTint="99"/>
        <w:spacing w:after="0" w:line="240" w:lineRule="auto"/>
        <w:jc w:val="both"/>
        <w:rPr>
          <w:rFonts w:cstheme="minorHAnsi"/>
          <w:color w:val="2F5496" w:themeColor="accent1" w:themeShade="BF"/>
          <w:sz w:val="40"/>
          <w:szCs w:val="40"/>
        </w:rPr>
      </w:pPr>
      <w:r>
        <w:rPr>
          <w:rFonts w:cstheme="minorHAnsi"/>
          <w:color w:val="2F5496" w:themeColor="accent1" w:themeShade="BF"/>
          <w:sz w:val="40"/>
          <w:szCs w:val="40"/>
        </w:rPr>
        <w:t xml:space="preserve">CCCA-BTP </w:t>
      </w:r>
      <w:proofErr w:type="spellStart"/>
      <w:r w:rsidRPr="00533979">
        <w:rPr>
          <w:rFonts w:cstheme="minorHAnsi"/>
          <w:color w:val="2F5496" w:themeColor="accent1" w:themeShade="BF"/>
          <w:sz w:val="40"/>
          <w:szCs w:val="40"/>
        </w:rPr>
        <w:t>Com'in</w:t>
      </w:r>
      <w:proofErr w:type="spellEnd"/>
      <w:r w:rsidRPr="00533979">
        <w:rPr>
          <w:rFonts w:cstheme="minorHAnsi"/>
          <w:color w:val="2F5496" w:themeColor="accent1" w:themeShade="BF"/>
          <w:sz w:val="40"/>
          <w:szCs w:val="40"/>
        </w:rPr>
        <w:t xml:space="preserve"> 17</w:t>
      </w:r>
      <w:r>
        <w:rPr>
          <w:rFonts w:cstheme="minorHAnsi"/>
          <w:color w:val="2F5496" w:themeColor="accent1" w:themeShade="BF"/>
          <w:sz w:val="40"/>
          <w:szCs w:val="40"/>
        </w:rPr>
        <w:t xml:space="preserve"> </w:t>
      </w:r>
      <w:r w:rsidRPr="00533979">
        <w:rPr>
          <w:rFonts w:cstheme="minorHAnsi"/>
          <w:color w:val="2F5496" w:themeColor="accent1" w:themeShade="BF"/>
          <w:sz w:val="40"/>
          <w:szCs w:val="40"/>
        </w:rPr>
        <w:t>04</w:t>
      </w:r>
      <w:r>
        <w:rPr>
          <w:rFonts w:cstheme="minorHAnsi"/>
          <w:color w:val="2F5496" w:themeColor="accent1" w:themeShade="BF"/>
          <w:sz w:val="40"/>
          <w:szCs w:val="40"/>
        </w:rPr>
        <w:t xml:space="preserve"> </w:t>
      </w:r>
      <w:r w:rsidRPr="00533979">
        <w:rPr>
          <w:rFonts w:cstheme="minorHAnsi"/>
          <w:color w:val="2F5496" w:themeColor="accent1" w:themeShade="BF"/>
          <w:sz w:val="40"/>
          <w:szCs w:val="40"/>
        </w:rPr>
        <w:t>2020</w:t>
      </w:r>
    </w:p>
    <w:p w:rsidR="00533979" w:rsidRDefault="00533979" w:rsidP="00F16815">
      <w:pPr>
        <w:spacing w:after="0" w:line="240" w:lineRule="auto"/>
        <w:jc w:val="both"/>
        <w:rPr>
          <w:rFonts w:cstheme="minorHAnsi"/>
          <w:color w:val="2F5496" w:themeColor="accent1" w:themeShade="BF"/>
          <w:sz w:val="40"/>
          <w:szCs w:val="40"/>
        </w:rPr>
      </w:pPr>
    </w:p>
    <w:p w:rsidR="00F16815" w:rsidRDefault="00F16815" w:rsidP="00F16815">
      <w:pPr>
        <w:spacing w:after="0" w:line="240" w:lineRule="auto"/>
        <w:jc w:val="both"/>
        <w:rPr>
          <w:rFonts w:cstheme="minorHAnsi"/>
          <w:color w:val="2F5496" w:themeColor="accent1" w:themeShade="BF"/>
          <w:sz w:val="40"/>
          <w:szCs w:val="40"/>
        </w:rPr>
      </w:pPr>
      <w:r>
        <w:rPr>
          <w:rFonts w:cstheme="minorHAnsi"/>
          <w:color w:val="2F5496" w:themeColor="accent1" w:themeShade="BF"/>
          <w:sz w:val="40"/>
          <w:szCs w:val="40"/>
        </w:rPr>
        <w:t xml:space="preserve">Erasmus+ Construction </w:t>
      </w:r>
      <w:proofErr w:type="spellStart"/>
      <w:r>
        <w:rPr>
          <w:rFonts w:cstheme="minorHAnsi"/>
          <w:color w:val="2F5496" w:themeColor="accent1" w:themeShade="BF"/>
          <w:sz w:val="40"/>
          <w:szCs w:val="40"/>
        </w:rPr>
        <w:t>Blueprint</w:t>
      </w:r>
      <w:proofErr w:type="spellEnd"/>
      <w:r>
        <w:rPr>
          <w:rFonts w:cstheme="minorHAnsi"/>
          <w:color w:val="2F5496" w:themeColor="accent1" w:themeShade="BF"/>
          <w:sz w:val="40"/>
          <w:szCs w:val="40"/>
        </w:rPr>
        <w:t> : un avancement malgré le confinement paneuropéen</w:t>
      </w:r>
    </w:p>
    <w:p w:rsidR="00F16815" w:rsidRDefault="00F16815" w:rsidP="00F16815">
      <w:pPr>
        <w:spacing w:after="0" w:line="240" w:lineRule="auto"/>
        <w:jc w:val="both"/>
        <w:rPr>
          <w:rFonts w:cstheme="minorHAnsi"/>
          <w:color w:val="2F5496" w:themeColor="accent1" w:themeShade="BF"/>
          <w:sz w:val="40"/>
          <w:szCs w:val="40"/>
        </w:rPr>
      </w:pPr>
    </w:p>
    <w:p w:rsidR="00F16815" w:rsidRPr="00F16815" w:rsidRDefault="00F16815" w:rsidP="00F16815">
      <w:pPr>
        <w:jc w:val="both"/>
        <w:rPr>
          <w:rFonts w:ascii="Calibri" w:eastAsia="Times New Roman" w:hAnsi="Calibri" w:cs="Calibri"/>
          <w:bCs/>
          <w:w w:val="106"/>
          <w:position w:val="-1"/>
        </w:rPr>
      </w:pPr>
    </w:p>
    <w:p w:rsidR="00EB712F" w:rsidRPr="00F16815" w:rsidRDefault="00F16815" w:rsidP="00F16815">
      <w:pPr>
        <w:jc w:val="both"/>
        <w:rPr>
          <w:rFonts w:ascii="Calibri" w:eastAsia="Times New Roman" w:hAnsi="Calibri" w:cs="Calibri"/>
          <w:bCs/>
          <w:w w:val="106"/>
          <w:position w:val="-1"/>
        </w:rPr>
      </w:pPr>
      <w:r>
        <w:rPr>
          <w:noProof/>
          <w:lang w:eastAsia="es-ES"/>
        </w:rPr>
        <w:drawing>
          <wp:anchor distT="0" distB="0" distL="114300" distR="114300" simplePos="0" relativeHeight="251658240" behindDoc="1" locked="0" layoutInCell="1" allowOverlap="1" wp14:anchorId="40764E47">
            <wp:simplePos x="0" y="0"/>
            <wp:positionH relativeFrom="margin">
              <wp:align>left</wp:align>
            </wp:positionH>
            <wp:positionV relativeFrom="paragraph">
              <wp:posOffset>6350</wp:posOffset>
            </wp:positionV>
            <wp:extent cx="3150870" cy="825500"/>
            <wp:effectExtent l="0" t="0" r="0" b="0"/>
            <wp:wrapTight wrapText="bothSides">
              <wp:wrapPolygon edited="0">
                <wp:start x="0" y="0"/>
                <wp:lineTo x="0" y="20935"/>
                <wp:lineTo x="21417" y="20935"/>
                <wp:lineTo x="21417" y="0"/>
                <wp:lineTo x="0"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_cabecera_1.jpg"/>
                    <pic:cNvPicPr/>
                  </pic:nvPicPr>
                  <pic:blipFill rotWithShape="1">
                    <a:blip r:embed="rId4">
                      <a:extLst>
                        <a:ext uri="{28A0092B-C50C-407E-A947-70E740481C1C}">
                          <a14:useLocalDpi xmlns:a14="http://schemas.microsoft.com/office/drawing/2010/main" val="0"/>
                        </a:ext>
                      </a:extLst>
                    </a:blip>
                    <a:srcRect l="6702" t="39337" r="52728" b="4647"/>
                    <a:stretch/>
                  </pic:blipFill>
                  <pic:spPr bwMode="auto">
                    <a:xfrm>
                      <a:off x="0" y="0"/>
                      <a:ext cx="3172363" cy="8310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CF5" w:rsidRPr="00F16815">
        <w:rPr>
          <w:rFonts w:ascii="Calibri" w:eastAsia="Times New Roman" w:hAnsi="Calibri" w:cs="Calibri"/>
          <w:bCs/>
          <w:w w:val="106"/>
          <w:position w:val="-1"/>
        </w:rPr>
        <w:t>Depuis janvier 2019, le CCCA-BTP</w:t>
      </w:r>
      <w:r w:rsidR="0035231D" w:rsidRPr="00F16815">
        <w:rPr>
          <w:rFonts w:ascii="Calibri" w:eastAsia="Times New Roman" w:hAnsi="Calibri" w:cs="Calibri"/>
          <w:bCs/>
          <w:w w:val="106"/>
          <w:position w:val="-1"/>
        </w:rPr>
        <w:t xml:space="preserve"> ainsi que la FFB</w:t>
      </w:r>
      <w:r w:rsidR="002D6CF5" w:rsidRPr="00F16815">
        <w:rPr>
          <w:rFonts w:ascii="Calibri" w:eastAsia="Times New Roman" w:hAnsi="Calibri" w:cs="Calibri"/>
          <w:bCs/>
          <w:w w:val="106"/>
          <w:position w:val="-1"/>
        </w:rPr>
        <w:t xml:space="preserve"> </w:t>
      </w:r>
      <w:r w:rsidR="0035231D" w:rsidRPr="00F16815">
        <w:rPr>
          <w:rFonts w:ascii="Calibri" w:eastAsia="Times New Roman" w:hAnsi="Calibri" w:cs="Calibri"/>
          <w:bCs/>
          <w:w w:val="106"/>
          <w:position w:val="-1"/>
        </w:rPr>
        <w:t>sont</w:t>
      </w:r>
      <w:r w:rsidR="002D6CF5" w:rsidRPr="00F16815">
        <w:rPr>
          <w:rFonts w:ascii="Calibri" w:eastAsia="Times New Roman" w:hAnsi="Calibri" w:cs="Calibri"/>
          <w:bCs/>
          <w:w w:val="106"/>
          <w:position w:val="-1"/>
        </w:rPr>
        <w:t xml:space="preserve"> impliqué</w:t>
      </w:r>
      <w:r w:rsidR="0035231D" w:rsidRPr="00F16815">
        <w:rPr>
          <w:rFonts w:ascii="Calibri" w:eastAsia="Times New Roman" w:hAnsi="Calibri" w:cs="Calibri"/>
          <w:bCs/>
          <w:w w:val="106"/>
          <w:position w:val="-1"/>
        </w:rPr>
        <w:t>s</w:t>
      </w:r>
      <w:r w:rsidR="002D6CF5" w:rsidRPr="00F16815">
        <w:rPr>
          <w:rFonts w:ascii="Calibri" w:eastAsia="Times New Roman" w:hAnsi="Calibri" w:cs="Calibri"/>
          <w:bCs/>
          <w:w w:val="106"/>
          <w:position w:val="-1"/>
        </w:rPr>
        <w:t xml:space="preserve"> dans le projet européen Construction </w:t>
      </w:r>
      <w:proofErr w:type="spellStart"/>
      <w:r w:rsidR="002D6CF5" w:rsidRPr="00F16815">
        <w:rPr>
          <w:rFonts w:ascii="Calibri" w:eastAsia="Times New Roman" w:hAnsi="Calibri" w:cs="Calibri"/>
          <w:bCs/>
          <w:w w:val="106"/>
          <w:position w:val="-1"/>
        </w:rPr>
        <w:t>Blueprint</w:t>
      </w:r>
      <w:proofErr w:type="spellEnd"/>
      <w:r w:rsidR="002D6CF5" w:rsidRPr="00F16815">
        <w:rPr>
          <w:rFonts w:ascii="Calibri" w:eastAsia="Times New Roman" w:hAnsi="Calibri" w:cs="Calibri"/>
          <w:bCs/>
          <w:w w:val="106"/>
          <w:position w:val="-1"/>
        </w:rPr>
        <w:t xml:space="preserve">, </w:t>
      </w:r>
      <w:r w:rsidR="0035231D" w:rsidRPr="00F16815">
        <w:rPr>
          <w:rFonts w:ascii="Calibri" w:eastAsia="Times New Roman" w:hAnsi="Calibri" w:cs="Calibri"/>
          <w:bCs/>
          <w:w w:val="106"/>
          <w:position w:val="-1"/>
        </w:rPr>
        <w:t>s’étendant sur 4 ans et</w:t>
      </w:r>
      <w:r w:rsidR="002D6CF5" w:rsidRPr="00F16815">
        <w:rPr>
          <w:rFonts w:ascii="Calibri" w:eastAsia="Times New Roman" w:hAnsi="Calibri" w:cs="Calibri"/>
          <w:bCs/>
          <w:w w:val="106"/>
          <w:position w:val="-1"/>
        </w:rPr>
        <w:t xml:space="preserve"> réunissant 24 partenaires (représentants sectoriels nationaux et européens, </w:t>
      </w:r>
      <w:r w:rsidR="0035231D" w:rsidRPr="00F16815">
        <w:rPr>
          <w:rFonts w:ascii="Calibri" w:eastAsia="Times New Roman" w:hAnsi="Calibri" w:cs="Calibri"/>
          <w:bCs/>
          <w:w w:val="106"/>
          <w:position w:val="-1"/>
        </w:rPr>
        <w:t>réseaux et organismes d’enseignement et de formation professionnelle) de 12 pays différents.</w:t>
      </w:r>
      <w:r w:rsidR="00B129C6" w:rsidRPr="00F16815">
        <w:rPr>
          <w:rFonts w:ascii="Calibri" w:eastAsia="Times New Roman" w:hAnsi="Calibri" w:cs="Calibri"/>
          <w:bCs/>
          <w:w w:val="106"/>
          <w:position w:val="-1"/>
        </w:rPr>
        <w:t xml:space="preserve"> Son objectif est de développer une approche stratégique sectorielle nouvelle en faveur de l’adéquation des compétences attendues par les entreprises du secteur et celles acquises par les apprenants dans les centres de formation.</w:t>
      </w:r>
    </w:p>
    <w:p w:rsidR="00EB712F" w:rsidRPr="00F16815" w:rsidRDefault="006B4609" w:rsidP="00F16815">
      <w:pPr>
        <w:jc w:val="both"/>
        <w:rPr>
          <w:rFonts w:ascii="Calibri" w:eastAsia="Times New Roman" w:hAnsi="Calibri" w:cs="Calibri"/>
          <w:bCs/>
          <w:w w:val="106"/>
          <w:position w:val="-1"/>
        </w:rPr>
      </w:pPr>
      <w:r w:rsidRPr="00F16815">
        <w:rPr>
          <w:rFonts w:ascii="Calibri" w:eastAsia="Times New Roman" w:hAnsi="Calibri" w:cs="Calibri"/>
          <w:bCs/>
          <w:w w:val="106"/>
          <w:position w:val="-1"/>
        </w:rPr>
        <w:t>À ce jour, une analyse des facteurs politiques, économiques, sociaux, technologiques, légaux et environnementaux i</w:t>
      </w:r>
      <w:r w:rsidR="00B129C6" w:rsidRPr="00F16815">
        <w:rPr>
          <w:rFonts w:ascii="Calibri" w:eastAsia="Times New Roman" w:hAnsi="Calibri" w:cs="Calibri"/>
          <w:bCs/>
          <w:w w:val="106"/>
          <w:position w:val="-1"/>
        </w:rPr>
        <w:t>mpactant</w:t>
      </w:r>
      <w:r w:rsidRPr="00F16815">
        <w:rPr>
          <w:rFonts w:ascii="Calibri" w:eastAsia="Times New Roman" w:hAnsi="Calibri" w:cs="Calibri"/>
          <w:bCs/>
          <w:w w:val="106"/>
          <w:position w:val="-1"/>
        </w:rPr>
        <w:t xml:space="preserve"> le secteur de la construction a été menée à bien dans chaque pays partenaire</w:t>
      </w:r>
      <w:r w:rsidR="0030106B" w:rsidRPr="00F16815">
        <w:rPr>
          <w:rFonts w:ascii="Calibri" w:eastAsia="Times New Roman" w:hAnsi="Calibri" w:cs="Calibri"/>
          <w:bCs/>
          <w:w w:val="106"/>
          <w:position w:val="-1"/>
        </w:rPr>
        <w:t>,</w:t>
      </w:r>
      <w:r w:rsidRPr="00F16815">
        <w:rPr>
          <w:rFonts w:ascii="Calibri" w:eastAsia="Times New Roman" w:hAnsi="Calibri" w:cs="Calibri"/>
          <w:bCs/>
          <w:w w:val="106"/>
          <w:position w:val="-1"/>
        </w:rPr>
        <w:t xml:space="preserve"> puis synthétisée dans un rapport. </w:t>
      </w:r>
      <w:r w:rsidR="00B129C6" w:rsidRPr="00F16815">
        <w:rPr>
          <w:rFonts w:ascii="Calibri" w:eastAsia="Times New Roman" w:hAnsi="Calibri" w:cs="Calibri"/>
          <w:bCs/>
          <w:w w:val="106"/>
          <w:position w:val="-1"/>
        </w:rPr>
        <w:t>Parallèlement</w:t>
      </w:r>
      <w:r w:rsidRPr="00F16815">
        <w:rPr>
          <w:rFonts w:ascii="Calibri" w:eastAsia="Times New Roman" w:hAnsi="Calibri" w:cs="Calibri"/>
          <w:bCs/>
          <w:w w:val="106"/>
          <w:position w:val="-1"/>
        </w:rPr>
        <w:t>, les organismes partenaires ont identifié, dans leurs pays respectifs, les bonnes pratiques remédiant aux pénuries de compétences dans le secteur de la construction, aux échelles locales, régionales et nationales</w:t>
      </w:r>
      <w:r w:rsidR="00B129C6" w:rsidRPr="00F16815">
        <w:rPr>
          <w:rFonts w:ascii="Calibri" w:eastAsia="Times New Roman" w:hAnsi="Calibri" w:cs="Calibri"/>
          <w:bCs/>
          <w:w w:val="106"/>
          <w:position w:val="-1"/>
        </w:rPr>
        <w:t>.</w:t>
      </w:r>
      <w:r w:rsidR="00EB712F" w:rsidRPr="00F16815">
        <w:rPr>
          <w:rFonts w:ascii="Calibri" w:eastAsia="Times New Roman" w:hAnsi="Calibri" w:cs="Calibri"/>
          <w:bCs/>
          <w:w w:val="106"/>
          <w:position w:val="-1"/>
        </w:rPr>
        <w:t xml:space="preserve"> La France a ainsi identifié et partagé </w:t>
      </w:r>
      <w:r w:rsidR="00B129C6" w:rsidRPr="00F16815">
        <w:rPr>
          <w:rFonts w:ascii="Calibri" w:eastAsia="Times New Roman" w:hAnsi="Calibri" w:cs="Calibri"/>
          <w:bCs/>
          <w:w w:val="106"/>
          <w:position w:val="-1"/>
        </w:rPr>
        <w:t xml:space="preserve">un total de </w:t>
      </w:r>
      <w:r w:rsidR="00EB712F" w:rsidRPr="00F16815">
        <w:rPr>
          <w:rFonts w:ascii="Calibri" w:eastAsia="Times New Roman" w:hAnsi="Calibri" w:cs="Calibri"/>
          <w:bCs/>
          <w:w w:val="106"/>
          <w:position w:val="-1"/>
        </w:rPr>
        <w:t xml:space="preserve">14 bonnes pratiques sur les 9 </w:t>
      </w:r>
      <w:r w:rsidR="0030106B" w:rsidRPr="00F16815">
        <w:rPr>
          <w:rFonts w:ascii="Calibri" w:eastAsia="Times New Roman" w:hAnsi="Calibri" w:cs="Calibri"/>
          <w:bCs/>
          <w:w w:val="106"/>
          <w:position w:val="-1"/>
        </w:rPr>
        <w:t>requises.</w:t>
      </w:r>
    </w:p>
    <w:p w:rsidR="00EB712F" w:rsidRPr="00F16815" w:rsidRDefault="006B4609" w:rsidP="00F16815">
      <w:pPr>
        <w:jc w:val="both"/>
        <w:rPr>
          <w:rFonts w:ascii="Calibri" w:eastAsia="Times New Roman" w:hAnsi="Calibri" w:cs="Calibri"/>
          <w:bCs/>
          <w:w w:val="106"/>
          <w:position w:val="-1"/>
        </w:rPr>
      </w:pPr>
      <w:r w:rsidRPr="00F16815">
        <w:rPr>
          <w:rFonts w:ascii="Calibri" w:eastAsia="Times New Roman" w:hAnsi="Calibri" w:cs="Calibri"/>
          <w:bCs/>
          <w:w w:val="106"/>
          <w:position w:val="-1"/>
        </w:rPr>
        <w:t xml:space="preserve">De son côté, le CCCA-BTP copilote avec l’IFAPME (Institut wallon de Formation en Alternance et des indépendants et Petites et Moyennes Entreprises) </w:t>
      </w:r>
      <w:r w:rsidR="00E92987" w:rsidRPr="00F16815">
        <w:rPr>
          <w:rFonts w:ascii="Calibri" w:eastAsia="Times New Roman" w:hAnsi="Calibri" w:cs="Calibri"/>
          <w:bCs/>
          <w:w w:val="106"/>
          <w:position w:val="-1"/>
        </w:rPr>
        <w:t xml:space="preserve">la création d’un observatoire européen prospectif des besoins en compétences du secteur de la construction. Les deux structures ont produit un rapport préliminaire faisant l’état des lieux de l’existant en matière d’observatoires du secteur de la construction au sein des pays partenaires, rapport qui sera complété d’ici la fin du mois d’avril. </w:t>
      </w:r>
      <w:r w:rsidR="00F16815">
        <w:rPr>
          <w:rFonts w:ascii="Calibri" w:eastAsia="Times New Roman" w:hAnsi="Calibri" w:cs="Calibri"/>
          <w:bCs/>
          <w:w w:val="106"/>
          <w:position w:val="-1"/>
        </w:rPr>
        <w:t xml:space="preserve">Il constituera un point de départ pour concevoir une démarche européenne commune, validée par des fédérations professionnelles représentatives au niveau transnational, permettant de conduire des analyses prospectives permettant à des organismes de formation de concevoir et proposer aux entreprises et à leurs salariés des parcours de professionnalisation en phase avec les évolutions et les attentes du secteur. </w:t>
      </w:r>
    </w:p>
    <w:p w:rsidR="00EB712F" w:rsidRPr="00F16815" w:rsidRDefault="00EB712F" w:rsidP="00F16815">
      <w:pPr>
        <w:jc w:val="both"/>
        <w:rPr>
          <w:rFonts w:ascii="Calibri" w:eastAsia="Times New Roman" w:hAnsi="Calibri" w:cs="Calibri"/>
          <w:bCs/>
          <w:w w:val="106"/>
          <w:position w:val="-1"/>
        </w:rPr>
      </w:pPr>
      <w:r w:rsidRPr="00F16815">
        <w:rPr>
          <w:rFonts w:ascii="Calibri" w:eastAsia="Times New Roman" w:hAnsi="Calibri" w:cs="Calibri"/>
          <w:bCs/>
          <w:w w:val="106"/>
          <w:position w:val="-1"/>
        </w:rPr>
        <w:t>Enfin</w:t>
      </w:r>
      <w:r w:rsidR="004D3909" w:rsidRPr="00F16815">
        <w:rPr>
          <w:rFonts w:ascii="Calibri" w:eastAsia="Times New Roman" w:hAnsi="Calibri" w:cs="Calibri"/>
          <w:bCs/>
          <w:w w:val="106"/>
          <w:position w:val="-1"/>
        </w:rPr>
        <w:t xml:space="preserve">, </w:t>
      </w:r>
      <w:r w:rsidRPr="00F16815">
        <w:rPr>
          <w:rFonts w:ascii="Calibri" w:eastAsia="Times New Roman" w:hAnsi="Calibri" w:cs="Calibri"/>
          <w:bCs/>
          <w:w w:val="106"/>
          <w:position w:val="-1"/>
        </w:rPr>
        <w:t>le</w:t>
      </w:r>
      <w:r w:rsidR="00F16815">
        <w:rPr>
          <w:rFonts w:ascii="Calibri" w:eastAsia="Times New Roman" w:hAnsi="Calibri" w:cs="Calibri"/>
          <w:bCs/>
          <w:w w:val="106"/>
          <w:position w:val="-1"/>
        </w:rPr>
        <w:t>s résultats du projet seront suivis</w:t>
      </w:r>
      <w:r w:rsidR="001B49B6">
        <w:rPr>
          <w:rFonts w:ascii="Calibri" w:eastAsia="Times New Roman" w:hAnsi="Calibri" w:cs="Calibri"/>
          <w:bCs/>
          <w:w w:val="106"/>
          <w:position w:val="-1"/>
        </w:rPr>
        <w:t>, dans chaque pays,</w:t>
      </w:r>
      <w:r w:rsidR="00F16815">
        <w:rPr>
          <w:rFonts w:ascii="Calibri" w:eastAsia="Times New Roman" w:hAnsi="Calibri" w:cs="Calibri"/>
          <w:bCs/>
          <w:w w:val="106"/>
          <w:position w:val="-1"/>
        </w:rPr>
        <w:t xml:space="preserve"> par</w:t>
      </w:r>
      <w:r w:rsidR="001B49B6">
        <w:rPr>
          <w:rFonts w:ascii="Calibri" w:eastAsia="Times New Roman" w:hAnsi="Calibri" w:cs="Calibri"/>
          <w:bCs/>
          <w:w w:val="106"/>
          <w:position w:val="-1"/>
        </w:rPr>
        <w:t xml:space="preserve"> des</w:t>
      </w:r>
      <w:r w:rsidRPr="00F16815">
        <w:rPr>
          <w:rFonts w:ascii="Calibri" w:eastAsia="Times New Roman" w:hAnsi="Calibri" w:cs="Calibri"/>
          <w:bCs/>
          <w:w w:val="106"/>
          <w:position w:val="-1"/>
        </w:rPr>
        <w:t xml:space="preserve"> représentant</w:t>
      </w:r>
      <w:r w:rsidR="001B49B6">
        <w:rPr>
          <w:rFonts w:ascii="Calibri" w:eastAsia="Times New Roman" w:hAnsi="Calibri" w:cs="Calibri"/>
          <w:bCs/>
          <w:w w:val="106"/>
          <w:position w:val="-1"/>
        </w:rPr>
        <w:t>s</w:t>
      </w:r>
      <w:r w:rsidRPr="00F16815">
        <w:rPr>
          <w:rFonts w:ascii="Calibri" w:eastAsia="Times New Roman" w:hAnsi="Calibri" w:cs="Calibri"/>
          <w:bCs/>
          <w:w w:val="106"/>
          <w:position w:val="-1"/>
        </w:rPr>
        <w:t xml:space="preserve"> sectoriel</w:t>
      </w:r>
      <w:r w:rsidR="001B49B6">
        <w:rPr>
          <w:rFonts w:ascii="Calibri" w:eastAsia="Times New Roman" w:hAnsi="Calibri" w:cs="Calibri"/>
          <w:bCs/>
          <w:w w:val="106"/>
          <w:position w:val="-1"/>
        </w:rPr>
        <w:t>s</w:t>
      </w:r>
      <w:r w:rsidRPr="00F16815">
        <w:rPr>
          <w:rFonts w:ascii="Calibri" w:eastAsia="Times New Roman" w:hAnsi="Calibri" w:cs="Calibri"/>
          <w:bCs/>
          <w:w w:val="106"/>
          <w:position w:val="-1"/>
        </w:rPr>
        <w:t xml:space="preserve"> </w:t>
      </w:r>
      <w:r w:rsidR="001B49B6">
        <w:rPr>
          <w:rFonts w:ascii="Calibri" w:eastAsia="Times New Roman" w:hAnsi="Calibri" w:cs="Calibri"/>
          <w:bCs/>
          <w:w w:val="106"/>
          <w:position w:val="-1"/>
        </w:rPr>
        <w:t>réunis au sein des</w:t>
      </w:r>
      <w:r w:rsidR="004D3909" w:rsidRPr="00F16815">
        <w:rPr>
          <w:rFonts w:ascii="Calibri" w:eastAsia="Times New Roman" w:hAnsi="Calibri" w:cs="Calibri"/>
          <w:bCs/>
          <w:w w:val="106"/>
          <w:position w:val="-1"/>
        </w:rPr>
        <w:t xml:space="preserve"> groupe</w:t>
      </w:r>
      <w:r w:rsidR="001B49B6">
        <w:rPr>
          <w:rFonts w:ascii="Calibri" w:eastAsia="Times New Roman" w:hAnsi="Calibri" w:cs="Calibri"/>
          <w:bCs/>
          <w:w w:val="106"/>
          <w:position w:val="-1"/>
        </w:rPr>
        <w:t>s</w:t>
      </w:r>
      <w:r w:rsidR="004D3909" w:rsidRPr="00F16815">
        <w:rPr>
          <w:rFonts w:ascii="Calibri" w:eastAsia="Times New Roman" w:hAnsi="Calibri" w:cs="Calibri"/>
          <w:bCs/>
          <w:w w:val="106"/>
          <w:position w:val="-1"/>
        </w:rPr>
        <w:t xml:space="preserve"> nationa</w:t>
      </w:r>
      <w:r w:rsidR="001B49B6">
        <w:rPr>
          <w:rFonts w:ascii="Calibri" w:eastAsia="Times New Roman" w:hAnsi="Calibri" w:cs="Calibri"/>
          <w:bCs/>
          <w:w w:val="106"/>
          <w:position w:val="-1"/>
        </w:rPr>
        <w:t>ux</w:t>
      </w:r>
      <w:r w:rsidR="004D3909" w:rsidRPr="00F16815">
        <w:rPr>
          <w:rFonts w:ascii="Calibri" w:eastAsia="Times New Roman" w:hAnsi="Calibri" w:cs="Calibri"/>
          <w:bCs/>
          <w:w w:val="106"/>
          <w:position w:val="-1"/>
        </w:rPr>
        <w:t xml:space="preserve"> consultatif</w:t>
      </w:r>
      <w:r w:rsidR="001B49B6">
        <w:rPr>
          <w:rFonts w:ascii="Calibri" w:eastAsia="Times New Roman" w:hAnsi="Calibri" w:cs="Calibri"/>
          <w:bCs/>
          <w:w w:val="106"/>
          <w:position w:val="-1"/>
        </w:rPr>
        <w:t>s</w:t>
      </w:r>
      <w:r w:rsidRPr="00F16815">
        <w:rPr>
          <w:rFonts w:ascii="Calibri" w:eastAsia="Times New Roman" w:hAnsi="Calibri" w:cs="Calibri"/>
          <w:bCs/>
          <w:w w:val="106"/>
          <w:position w:val="-1"/>
        </w:rPr>
        <w:t xml:space="preserve"> </w:t>
      </w:r>
      <w:r w:rsidR="001B49B6">
        <w:rPr>
          <w:rFonts w:ascii="Calibri" w:eastAsia="Times New Roman" w:hAnsi="Calibri" w:cs="Calibri"/>
          <w:bCs/>
          <w:w w:val="106"/>
          <w:position w:val="-1"/>
        </w:rPr>
        <w:t>actuellement en cons</w:t>
      </w:r>
      <w:bookmarkStart w:id="0" w:name="_GoBack"/>
      <w:bookmarkEnd w:id="0"/>
      <w:r w:rsidR="001B49B6">
        <w:rPr>
          <w:rFonts w:ascii="Calibri" w:eastAsia="Times New Roman" w:hAnsi="Calibri" w:cs="Calibri"/>
          <w:bCs/>
          <w:w w:val="106"/>
          <w:position w:val="-1"/>
        </w:rPr>
        <w:t>titution</w:t>
      </w:r>
      <w:r w:rsidR="00533979">
        <w:rPr>
          <w:rFonts w:ascii="Calibri" w:eastAsia="Times New Roman" w:hAnsi="Calibri" w:cs="Calibri"/>
          <w:bCs/>
          <w:w w:val="106"/>
          <w:position w:val="-1"/>
        </w:rPr>
        <w:t xml:space="preserve"> (NAG).</w:t>
      </w:r>
    </w:p>
    <w:sectPr w:rsidR="00EB712F" w:rsidRPr="00F16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F5"/>
    <w:rsid w:val="001B49B6"/>
    <w:rsid w:val="002D6CF5"/>
    <w:rsid w:val="0030106B"/>
    <w:rsid w:val="0035231D"/>
    <w:rsid w:val="004D3909"/>
    <w:rsid w:val="00533979"/>
    <w:rsid w:val="006B4609"/>
    <w:rsid w:val="008227EC"/>
    <w:rsid w:val="008C28EF"/>
    <w:rsid w:val="00B129C6"/>
    <w:rsid w:val="00D566BF"/>
    <w:rsid w:val="00E92987"/>
    <w:rsid w:val="00EB712F"/>
    <w:rsid w:val="00F16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0D56"/>
  <w15:chartTrackingRefBased/>
  <w15:docId w15:val="{97B351E8-392D-4BF2-A780-C61009CE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49B6"/>
    <w:rPr>
      <w:color w:val="0563C1" w:themeColor="hyperlink"/>
      <w:u w:val="single"/>
    </w:rPr>
  </w:style>
  <w:style w:type="character" w:styleId="Mentionnonrsolue">
    <w:name w:val="Unresolved Mention"/>
    <w:basedOn w:val="Policepardfaut"/>
    <w:uiPriority w:val="99"/>
    <w:semiHidden/>
    <w:unhideWhenUsed/>
    <w:rsid w:val="001B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BEAUCHESNE Marion</dc:creator>
  <cp:keywords/>
  <dc:description/>
  <cp:lastModifiedBy>LAWINSKI Marek</cp:lastModifiedBy>
  <cp:revision>3</cp:revision>
  <dcterms:created xsi:type="dcterms:W3CDTF">2020-04-17T09:48:00Z</dcterms:created>
  <dcterms:modified xsi:type="dcterms:W3CDTF">2020-06-24T09:39:00Z</dcterms:modified>
</cp:coreProperties>
</file>