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48" w:rsidRDefault="00427148" w:rsidP="00427148">
      <w:pPr>
        <w:ind w:left="142"/>
        <w:rPr>
          <w:rStyle w:val="Normal"/>
          <w:rFonts w:ascii="Calibri" w:hAnsi="Calibri"/>
          <w:color w:val="0070C0"/>
          <w:sz w:val="18"/>
          <w:szCs w:val="18"/>
        </w:rPr>
      </w:pPr>
      <w:r>
        <w:rPr>
          <w:rFonts w:ascii="Calibri" w:hAnsi="Calibri"/>
          <w:noProof/>
          <w:color w:val="0070C0"/>
          <w:sz w:val="18"/>
          <w:szCs w:val="18"/>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1298</wp:posOffset>
            </wp:positionV>
            <wp:extent cx="2021205" cy="440055"/>
            <wp:effectExtent l="0" t="0" r="0" b="0"/>
            <wp:wrapSquare wrapText="bothSides"/>
            <wp:docPr id="2" name="Image 2"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01  JPG - Logo_ConstructyVet_RVB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20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
          <w:rFonts w:ascii="Calibri" w:hAnsi="Calibri"/>
          <w:color w:val="0070C0"/>
          <w:sz w:val="18"/>
          <w:szCs w:val="18"/>
        </w:rPr>
        <w:t>Encadrement intermédiaire dans les entreprises du BTP</w:t>
      </w:r>
    </w:p>
    <w:p w:rsidR="00427148" w:rsidRPr="00D033EB" w:rsidRDefault="00427148" w:rsidP="00427148">
      <w:pPr>
        <w:ind w:left="142"/>
        <w:rPr>
          <w:color w:val="0070C0"/>
          <w:sz w:val="18"/>
          <w:szCs w:val="18"/>
        </w:rPr>
      </w:pPr>
      <w:r w:rsidRPr="00D033EB">
        <w:rPr>
          <w:rStyle w:val="Normal"/>
          <w:rFonts w:ascii="Calibri" w:hAnsi="Calibri"/>
          <w:color w:val="0070C0"/>
          <w:sz w:val="18"/>
          <w:szCs w:val="18"/>
        </w:rPr>
        <w:t>2015-1-FR01-KA202-015054</w:t>
      </w:r>
    </w:p>
    <w:p w:rsidR="00E025A4" w:rsidRDefault="00E025A4"/>
    <w:tbl>
      <w:tblPr>
        <w:tblStyle w:val="Grilledutableau"/>
        <w:tblpPr w:leftFromText="141" w:rightFromText="141" w:vertAnchor="page" w:horzAnchor="margin" w:tblpY="2581"/>
        <w:tblW w:w="14000" w:type="dxa"/>
        <w:tblInd w:w="0" w:type="dxa"/>
        <w:tblLook w:val="04A0" w:firstRow="1" w:lastRow="0" w:firstColumn="1" w:lastColumn="0" w:noHBand="0" w:noVBand="1"/>
      </w:tblPr>
      <w:tblGrid>
        <w:gridCol w:w="1384"/>
        <w:gridCol w:w="9243"/>
        <w:gridCol w:w="1955"/>
        <w:gridCol w:w="1418"/>
      </w:tblGrid>
      <w:tr w:rsidR="00E025A4" w:rsidRPr="00427148" w:rsidTr="00830100">
        <w:trPr>
          <w:trHeight w:val="422"/>
        </w:trPr>
        <w:tc>
          <w:tcPr>
            <w:tcW w:w="1400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7148" w:rsidRPr="00427148" w:rsidRDefault="00427148" w:rsidP="00E025A4">
            <w:pPr>
              <w:jc w:val="center"/>
              <w:rPr>
                <w:rFonts w:cstheme="minorHAnsi"/>
                <w:b/>
                <w:color w:val="943634" w:themeColor="accent2" w:themeShade="BF"/>
                <w:sz w:val="20"/>
                <w:szCs w:val="20"/>
              </w:rPr>
            </w:pPr>
          </w:p>
          <w:p w:rsidR="00E025A4" w:rsidRPr="00427148" w:rsidRDefault="00E025A4" w:rsidP="00E025A4">
            <w:pPr>
              <w:jc w:val="center"/>
              <w:rPr>
                <w:rFonts w:ascii="Calibri" w:hAnsi="Calibri"/>
                <w:b/>
                <w:color w:val="943634" w:themeColor="accent2" w:themeShade="BF"/>
                <w:sz w:val="28"/>
                <w:szCs w:val="28"/>
              </w:rPr>
            </w:pPr>
            <w:r w:rsidRPr="00427148">
              <w:rPr>
                <w:rFonts w:cstheme="minorHAnsi"/>
                <w:b/>
                <w:color w:val="943634" w:themeColor="accent2" w:themeShade="BF"/>
                <w:sz w:val="28"/>
                <w:szCs w:val="28"/>
              </w:rPr>
              <w:t>ConstructyVET</w:t>
            </w:r>
            <w:r w:rsidR="00427148" w:rsidRPr="00427148">
              <w:rPr>
                <w:rFonts w:ascii="Calibri" w:hAnsi="Calibri"/>
                <w:b/>
                <w:color w:val="943634" w:themeColor="accent2" w:themeShade="BF"/>
                <w:sz w:val="28"/>
                <w:szCs w:val="28"/>
              </w:rPr>
              <w:t> : M</w:t>
            </w:r>
            <w:r w:rsidRPr="00427148">
              <w:rPr>
                <w:rFonts w:ascii="Calibri" w:hAnsi="Calibri"/>
                <w:b/>
                <w:color w:val="943634" w:themeColor="accent2" w:themeShade="BF"/>
                <w:sz w:val="28"/>
                <w:szCs w:val="28"/>
              </w:rPr>
              <w:t>ise en œuvre du projet dans les BTP CFA en Aquitaine</w:t>
            </w:r>
          </w:p>
          <w:p w:rsidR="00E025A4" w:rsidRPr="00427148" w:rsidRDefault="00427148" w:rsidP="00E025A4">
            <w:pPr>
              <w:jc w:val="center"/>
              <w:rPr>
                <w:rFonts w:ascii="Calibri" w:hAnsi="Calibri"/>
                <w:b/>
                <w:color w:val="943634" w:themeColor="accent2" w:themeShade="BF"/>
                <w:sz w:val="28"/>
                <w:szCs w:val="28"/>
              </w:rPr>
            </w:pPr>
            <w:r w:rsidRPr="00427148">
              <w:rPr>
                <w:rFonts w:ascii="Calibri" w:hAnsi="Calibri"/>
                <w:b/>
                <w:color w:val="943634" w:themeColor="accent2" w:themeShade="BF"/>
                <w:sz w:val="28"/>
                <w:szCs w:val="28"/>
              </w:rPr>
              <w:t>Présentation lors du 1</w:t>
            </w:r>
            <w:r w:rsidRPr="00427148">
              <w:rPr>
                <w:rFonts w:ascii="Calibri" w:hAnsi="Calibri"/>
                <w:b/>
                <w:color w:val="943634" w:themeColor="accent2" w:themeShade="BF"/>
                <w:sz w:val="28"/>
                <w:szCs w:val="28"/>
                <w:vertAlign w:val="superscript"/>
              </w:rPr>
              <w:t>er</w:t>
            </w:r>
            <w:r w:rsidRPr="00427148">
              <w:rPr>
                <w:rFonts w:ascii="Calibri" w:hAnsi="Calibri"/>
                <w:b/>
                <w:color w:val="943634" w:themeColor="accent2" w:themeShade="BF"/>
                <w:sz w:val="28"/>
                <w:szCs w:val="28"/>
              </w:rPr>
              <w:t xml:space="preserve"> INFODAY 27 octobre 2017 de 10h30 à 12h0</w:t>
            </w:r>
            <w:r w:rsidR="00E025A4" w:rsidRPr="00427148">
              <w:rPr>
                <w:rFonts w:ascii="Calibri" w:hAnsi="Calibri"/>
                <w:b/>
                <w:color w:val="943634" w:themeColor="accent2" w:themeShade="BF"/>
                <w:sz w:val="28"/>
                <w:szCs w:val="28"/>
              </w:rPr>
              <w:t>0</w:t>
            </w:r>
          </w:p>
          <w:p w:rsidR="00E025A4" w:rsidRPr="00427148" w:rsidRDefault="00E025A4" w:rsidP="00E025A4">
            <w:pPr>
              <w:rPr>
                <w:rFonts w:cstheme="minorHAnsi"/>
                <w:b/>
                <w:sz w:val="20"/>
                <w:szCs w:val="20"/>
              </w:rPr>
            </w:pPr>
          </w:p>
        </w:tc>
      </w:tr>
      <w:tr w:rsidR="007C1981" w:rsidRPr="00427148" w:rsidTr="00427148">
        <w:trPr>
          <w:trHeight w:val="422"/>
        </w:trPr>
        <w:tc>
          <w:tcPr>
            <w:tcW w:w="1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33C36" w:rsidRPr="00427148" w:rsidRDefault="00433C36" w:rsidP="007C1981">
            <w:pPr>
              <w:rPr>
                <w:rFonts w:cstheme="minorHAnsi"/>
                <w:b/>
                <w:sz w:val="20"/>
                <w:szCs w:val="20"/>
              </w:rPr>
            </w:pPr>
          </w:p>
        </w:tc>
        <w:tc>
          <w:tcPr>
            <w:tcW w:w="92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3C36" w:rsidRPr="00427148" w:rsidRDefault="00433C36" w:rsidP="007C1981">
            <w:pPr>
              <w:rPr>
                <w:rFonts w:cstheme="minorHAnsi"/>
                <w:b/>
                <w:sz w:val="20"/>
                <w:szCs w:val="20"/>
              </w:rPr>
            </w:pPr>
            <w:r w:rsidRPr="00427148">
              <w:rPr>
                <w:rFonts w:cstheme="minorHAnsi"/>
                <w:b/>
                <w:sz w:val="20"/>
                <w:szCs w:val="20"/>
              </w:rPr>
              <w:t>Contenu</w:t>
            </w:r>
          </w:p>
        </w:tc>
        <w:tc>
          <w:tcPr>
            <w:tcW w:w="1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3C36" w:rsidRPr="00427148" w:rsidRDefault="00433C36" w:rsidP="007C1981">
            <w:pPr>
              <w:rPr>
                <w:rFonts w:cstheme="minorHAnsi"/>
                <w:b/>
                <w:sz w:val="20"/>
                <w:szCs w:val="20"/>
              </w:rPr>
            </w:pPr>
            <w:r w:rsidRPr="00427148">
              <w:rPr>
                <w:rFonts w:cstheme="minorHAnsi"/>
                <w:b/>
                <w:sz w:val="20"/>
                <w:szCs w:val="20"/>
              </w:rPr>
              <w:t>Par</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3C36" w:rsidRPr="00427148" w:rsidRDefault="00433C36" w:rsidP="007C1981">
            <w:pPr>
              <w:rPr>
                <w:rFonts w:cstheme="minorHAnsi"/>
                <w:b/>
                <w:sz w:val="20"/>
                <w:szCs w:val="20"/>
              </w:rPr>
            </w:pPr>
            <w:r w:rsidRPr="00427148">
              <w:rPr>
                <w:rFonts w:cstheme="minorHAnsi"/>
                <w:b/>
                <w:sz w:val="20"/>
                <w:szCs w:val="20"/>
              </w:rPr>
              <w:t>Durée</w:t>
            </w:r>
          </w:p>
        </w:tc>
      </w:tr>
      <w:tr w:rsidR="007C1981" w:rsidRPr="00427148" w:rsidTr="00427148">
        <w:trPr>
          <w:trHeight w:val="1252"/>
        </w:trPr>
        <w:tc>
          <w:tcPr>
            <w:tcW w:w="1384" w:type="dxa"/>
            <w:tcBorders>
              <w:top w:val="single" w:sz="4" w:space="0" w:color="auto"/>
              <w:left w:val="single" w:sz="4" w:space="0" w:color="auto"/>
              <w:bottom w:val="single" w:sz="4" w:space="0" w:color="auto"/>
              <w:right w:val="single" w:sz="4" w:space="0" w:color="auto"/>
            </w:tcBorders>
            <w:vAlign w:val="center"/>
            <w:hideMark/>
          </w:tcPr>
          <w:p w:rsidR="00433C36" w:rsidRPr="00427148" w:rsidRDefault="00433C36" w:rsidP="007C1981">
            <w:pPr>
              <w:rPr>
                <w:rFonts w:cstheme="minorHAnsi"/>
                <w:sz w:val="20"/>
                <w:szCs w:val="20"/>
              </w:rPr>
            </w:pPr>
            <w:r w:rsidRPr="00427148">
              <w:rPr>
                <w:rFonts w:cstheme="minorHAnsi"/>
                <w:sz w:val="20"/>
                <w:szCs w:val="20"/>
              </w:rPr>
              <w:t>1</w:t>
            </w:r>
            <w:r w:rsidRPr="00427148">
              <w:rPr>
                <w:rFonts w:cstheme="minorHAnsi"/>
                <w:sz w:val="20"/>
                <w:szCs w:val="20"/>
                <w:vertAlign w:val="superscript"/>
              </w:rPr>
              <w:t>ère</w:t>
            </w:r>
            <w:r w:rsidR="00427148">
              <w:rPr>
                <w:rFonts w:cstheme="minorHAnsi"/>
                <w:sz w:val="20"/>
                <w:szCs w:val="20"/>
              </w:rPr>
              <w:t xml:space="preserve"> partie</w:t>
            </w:r>
          </w:p>
        </w:tc>
        <w:tc>
          <w:tcPr>
            <w:tcW w:w="9243" w:type="dxa"/>
            <w:tcBorders>
              <w:top w:val="single" w:sz="4" w:space="0" w:color="auto"/>
              <w:left w:val="single" w:sz="4" w:space="0" w:color="auto"/>
              <w:bottom w:val="single" w:sz="4" w:space="0" w:color="auto"/>
              <w:right w:val="single" w:sz="4" w:space="0" w:color="auto"/>
            </w:tcBorders>
            <w:vAlign w:val="center"/>
            <w:hideMark/>
          </w:tcPr>
          <w:p w:rsidR="00433C36" w:rsidRPr="00427148" w:rsidRDefault="007C1981" w:rsidP="007C1981">
            <w:pPr>
              <w:spacing w:after="60"/>
              <w:rPr>
                <w:rFonts w:cstheme="minorHAnsi"/>
                <w:sz w:val="20"/>
                <w:szCs w:val="20"/>
              </w:rPr>
            </w:pPr>
            <w:r w:rsidRPr="00427148">
              <w:rPr>
                <w:rFonts w:cstheme="minorHAnsi"/>
                <w:sz w:val="20"/>
                <w:szCs w:val="20"/>
              </w:rPr>
              <w:t>- Rappel des objectifs du projet</w:t>
            </w:r>
            <w:r w:rsidR="00433C36" w:rsidRPr="00427148">
              <w:rPr>
                <w:rFonts w:cstheme="minorHAnsi"/>
                <w:sz w:val="20"/>
                <w:szCs w:val="20"/>
              </w:rPr>
              <w:t xml:space="preserve"> ConstrucytVET</w:t>
            </w:r>
            <w:r w:rsidR="00CF6BD9" w:rsidRPr="00427148">
              <w:rPr>
                <w:rFonts w:cstheme="minorHAnsi"/>
                <w:sz w:val="20"/>
                <w:szCs w:val="20"/>
              </w:rPr>
              <w:t xml:space="preserve"> : </w:t>
            </w:r>
            <w:r w:rsidR="00CF6BD9" w:rsidRPr="00427148">
              <w:rPr>
                <w:rFonts w:cstheme="minorHAnsi"/>
                <w:i/>
                <w:color w:val="943634" w:themeColor="accent2" w:themeShade="BF"/>
                <w:sz w:val="20"/>
                <w:szCs w:val="20"/>
              </w:rPr>
              <w:t>il faudra insister uniquement sur les objectifs propres pour les CFA en Aquitaine, en lien avec l’idée de mieux répondre aux attentes précises des entreprises, en vue d’une meilleure adaptation de l’offre de formation régionale destinée aux chefs de chantier et aux chefs d’équipe / distinction formation initiale et formation continue si possible.</w:t>
            </w:r>
          </w:p>
          <w:p w:rsidR="00433C36" w:rsidRPr="00427148" w:rsidRDefault="00433C36" w:rsidP="007C1981">
            <w:pPr>
              <w:spacing w:after="60"/>
              <w:rPr>
                <w:rFonts w:cstheme="minorHAnsi"/>
                <w:sz w:val="20"/>
                <w:szCs w:val="20"/>
              </w:rPr>
            </w:pPr>
            <w:r w:rsidRPr="00427148">
              <w:rPr>
                <w:rFonts w:cstheme="minorHAnsi"/>
                <w:sz w:val="20"/>
                <w:szCs w:val="20"/>
              </w:rPr>
              <w:t>- Présentation des entretiens réalisés</w:t>
            </w:r>
            <w:r w:rsidR="00CF6BD9" w:rsidRPr="00427148">
              <w:rPr>
                <w:rFonts w:cstheme="minorHAnsi"/>
                <w:sz w:val="20"/>
                <w:szCs w:val="20"/>
              </w:rPr>
              <w:t xml:space="preserve"> </w:t>
            </w:r>
            <w:r w:rsidR="00CF6BD9" w:rsidRPr="00427148">
              <w:rPr>
                <w:rFonts w:cstheme="minorHAnsi"/>
                <w:i/>
                <w:color w:val="943634" w:themeColor="accent2" w:themeShade="BF"/>
                <w:sz w:val="20"/>
                <w:szCs w:val="20"/>
              </w:rPr>
              <w:t>(surtout présentation des observations retenues lors de ces entretiens, importantes à prendre en compte dans le processus d’actualisation de l’offre de formation en question, ne pas revenir sur tout le processus d’entretien : aller tout de suite vers des conclusions pertinentes et sur leur conséquences pour le plan d’action à construire).</w:t>
            </w:r>
          </w:p>
          <w:p w:rsidR="00433C36" w:rsidRPr="00427148" w:rsidRDefault="00CF6BD9" w:rsidP="007C1981">
            <w:pPr>
              <w:spacing w:after="60"/>
              <w:rPr>
                <w:rFonts w:cstheme="minorHAnsi"/>
                <w:sz w:val="20"/>
                <w:szCs w:val="20"/>
              </w:rPr>
            </w:pPr>
            <w:r w:rsidRPr="00427148">
              <w:rPr>
                <w:rFonts w:cstheme="minorHAnsi"/>
                <w:sz w:val="20"/>
                <w:szCs w:val="20"/>
              </w:rPr>
              <w:t xml:space="preserve">- 1ères observations retenues : </w:t>
            </w:r>
            <w:r w:rsidRPr="00427148">
              <w:rPr>
                <w:rFonts w:cstheme="minorHAnsi"/>
                <w:i/>
                <w:color w:val="943634" w:themeColor="accent2" w:themeShade="BF"/>
                <w:sz w:val="20"/>
                <w:szCs w:val="20"/>
              </w:rPr>
              <w:t>à traiter ensemble avec le point précédent.</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CF6BD9" w:rsidRPr="00427148" w:rsidRDefault="00427148" w:rsidP="007C1981">
            <w:pPr>
              <w:rPr>
                <w:rFonts w:cstheme="minorHAnsi"/>
                <w:i/>
                <w:color w:val="943634" w:themeColor="accent2" w:themeShade="BF"/>
                <w:sz w:val="20"/>
                <w:szCs w:val="20"/>
              </w:rPr>
            </w:pPr>
            <w:r w:rsidRPr="00427148">
              <w:rPr>
                <w:rFonts w:cstheme="minorHAnsi"/>
                <w:i/>
                <w:color w:val="943634" w:themeColor="accent2" w:themeShade="BF"/>
                <w:sz w:val="20"/>
                <w:szCs w:val="20"/>
              </w:rPr>
              <w:t>P</w:t>
            </w:r>
            <w:r w:rsidR="00CF6BD9" w:rsidRPr="00427148">
              <w:rPr>
                <w:rFonts w:cstheme="minorHAnsi"/>
                <w:i/>
                <w:color w:val="943634" w:themeColor="accent2" w:themeShade="BF"/>
                <w:sz w:val="20"/>
                <w:szCs w:val="20"/>
              </w:rPr>
              <w:t xml:space="preserve">arole aux personnes qui ont été </w:t>
            </w:r>
            <w:r w:rsidRPr="00427148">
              <w:rPr>
                <w:rFonts w:cstheme="minorHAnsi"/>
                <w:i/>
                <w:color w:val="943634" w:themeColor="accent2" w:themeShade="BF"/>
                <w:sz w:val="20"/>
                <w:szCs w:val="20"/>
              </w:rPr>
              <w:t>« aux fourneaux »</w:t>
            </w:r>
            <w:r w:rsidR="00CF6BD9" w:rsidRPr="00427148">
              <w:rPr>
                <w:rFonts w:cstheme="minorHAnsi"/>
                <w:i/>
                <w:color w:val="943634" w:themeColor="accent2" w:themeShade="BF"/>
                <w:sz w:val="20"/>
                <w:szCs w:val="20"/>
              </w:rPr>
              <w:t xml:space="preserve">, </w:t>
            </w:r>
            <w:r w:rsidRPr="00427148">
              <w:rPr>
                <w:rFonts w:cstheme="minorHAnsi"/>
                <w:i/>
                <w:color w:val="943634" w:themeColor="accent2" w:themeShade="BF"/>
                <w:sz w:val="20"/>
                <w:szCs w:val="20"/>
              </w:rPr>
              <w:t>B. Tira</w:t>
            </w:r>
            <w:r w:rsidR="00CF6BD9" w:rsidRPr="00427148">
              <w:rPr>
                <w:rFonts w:cstheme="minorHAnsi"/>
                <w:i/>
                <w:color w:val="943634" w:themeColor="accent2" w:themeShade="BF"/>
                <w:sz w:val="20"/>
                <w:szCs w:val="20"/>
              </w:rPr>
              <w:t xml:space="preserve"> avec plus de distance, « en chef d’entreprise ». </w:t>
            </w:r>
            <w:r w:rsidRPr="00427148">
              <w:rPr>
                <w:rFonts w:cstheme="minorHAnsi"/>
                <w:i/>
                <w:color w:val="943634" w:themeColor="accent2" w:themeShade="BF"/>
                <w:sz w:val="20"/>
                <w:szCs w:val="20"/>
              </w:rPr>
              <w:t>D</w:t>
            </w:r>
            <w:r w:rsidR="00CF6BD9" w:rsidRPr="00427148">
              <w:rPr>
                <w:rFonts w:cstheme="minorHAnsi"/>
                <w:i/>
                <w:color w:val="943634" w:themeColor="accent2" w:themeShade="BF"/>
                <w:sz w:val="20"/>
                <w:szCs w:val="20"/>
              </w:rPr>
              <w:t xml:space="preserve">ans la présentation, une nette distinction entre les « opérateurs » </w:t>
            </w:r>
            <w:r w:rsidR="005F7C53">
              <w:rPr>
                <w:rFonts w:cstheme="minorHAnsi"/>
                <w:i/>
                <w:color w:val="943634" w:themeColor="accent2" w:themeShade="BF"/>
                <w:sz w:val="20"/>
                <w:szCs w:val="20"/>
              </w:rPr>
              <w:t xml:space="preserve">et </w:t>
            </w:r>
            <w:bookmarkStart w:id="0" w:name="_GoBack"/>
            <w:bookmarkEnd w:id="0"/>
            <w:r w:rsidR="00CF6BD9" w:rsidRPr="00427148">
              <w:rPr>
                <w:rFonts w:cstheme="minorHAnsi"/>
                <w:i/>
                <w:color w:val="943634" w:themeColor="accent2" w:themeShade="BF"/>
                <w:sz w:val="20"/>
                <w:szCs w:val="20"/>
              </w:rPr>
              <w:t>le « manager-st</w:t>
            </w:r>
            <w:r w:rsidRPr="00427148">
              <w:rPr>
                <w:rFonts w:cstheme="minorHAnsi"/>
                <w:i/>
                <w:color w:val="943634" w:themeColor="accent2" w:themeShade="BF"/>
                <w:sz w:val="20"/>
                <w:szCs w:val="20"/>
              </w:rPr>
              <w:t>ratège-décisionnaire »</w:t>
            </w:r>
            <w:r w:rsidR="00CF6BD9" w:rsidRPr="00427148">
              <w:rPr>
                <w:rFonts w:cstheme="minorHAnsi"/>
                <w:i/>
                <w:color w:val="943634" w:themeColor="accent2" w:themeShade="BF"/>
                <w:sz w:val="20"/>
                <w:szCs w:val="20"/>
              </w:rPr>
              <w:t xml:space="preserve">. </w:t>
            </w:r>
          </w:p>
          <w:p w:rsidR="00433C36" w:rsidRPr="00427148" w:rsidRDefault="00433C36" w:rsidP="007C1981">
            <w:pPr>
              <w:rPr>
                <w:rFonts w:cstheme="minorHAnsi"/>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33C36" w:rsidRPr="00427148" w:rsidRDefault="00433C36" w:rsidP="007C1981">
            <w:pPr>
              <w:rPr>
                <w:rFonts w:cstheme="minorHAnsi"/>
                <w:sz w:val="20"/>
                <w:szCs w:val="20"/>
              </w:rPr>
            </w:pPr>
          </w:p>
          <w:p w:rsidR="00433C36" w:rsidRPr="00427148" w:rsidRDefault="00427148" w:rsidP="00427148">
            <w:pPr>
              <w:rPr>
                <w:rFonts w:cstheme="minorHAnsi"/>
                <w:sz w:val="20"/>
                <w:szCs w:val="20"/>
              </w:rPr>
            </w:pPr>
            <w:r w:rsidRPr="00427148">
              <w:rPr>
                <w:rFonts w:cstheme="minorHAnsi"/>
                <w:sz w:val="20"/>
                <w:szCs w:val="20"/>
              </w:rPr>
              <w:t>30</w:t>
            </w:r>
            <w:r w:rsidR="00433C36" w:rsidRPr="00427148">
              <w:rPr>
                <w:rFonts w:cstheme="minorHAnsi"/>
                <w:sz w:val="20"/>
                <w:szCs w:val="20"/>
              </w:rPr>
              <w:t xml:space="preserve"> min</w:t>
            </w:r>
          </w:p>
        </w:tc>
      </w:tr>
      <w:tr w:rsidR="007C1981" w:rsidRPr="00427148" w:rsidTr="00427148">
        <w:trPr>
          <w:trHeight w:val="1680"/>
        </w:trPr>
        <w:tc>
          <w:tcPr>
            <w:tcW w:w="1384" w:type="dxa"/>
            <w:tcBorders>
              <w:top w:val="single" w:sz="4" w:space="0" w:color="auto"/>
              <w:left w:val="single" w:sz="4" w:space="0" w:color="auto"/>
              <w:bottom w:val="single" w:sz="4" w:space="0" w:color="auto"/>
              <w:right w:val="single" w:sz="4" w:space="0" w:color="auto"/>
            </w:tcBorders>
            <w:vAlign w:val="center"/>
            <w:hideMark/>
          </w:tcPr>
          <w:p w:rsidR="00433C36" w:rsidRPr="00427148" w:rsidRDefault="00433C36" w:rsidP="007C1981">
            <w:pPr>
              <w:rPr>
                <w:rFonts w:cstheme="minorHAnsi"/>
                <w:sz w:val="20"/>
                <w:szCs w:val="20"/>
              </w:rPr>
            </w:pPr>
            <w:r w:rsidRPr="00427148">
              <w:rPr>
                <w:rFonts w:cstheme="minorHAnsi"/>
                <w:sz w:val="20"/>
                <w:szCs w:val="20"/>
              </w:rPr>
              <w:t>2</w:t>
            </w:r>
            <w:r w:rsidRPr="00427148">
              <w:rPr>
                <w:rFonts w:cstheme="minorHAnsi"/>
                <w:sz w:val="20"/>
                <w:szCs w:val="20"/>
                <w:vertAlign w:val="superscript"/>
              </w:rPr>
              <w:t>ème</w:t>
            </w:r>
            <w:r w:rsidR="00427148">
              <w:rPr>
                <w:rFonts w:cstheme="minorHAnsi"/>
                <w:sz w:val="20"/>
                <w:szCs w:val="20"/>
              </w:rPr>
              <w:t xml:space="preserve"> partie</w:t>
            </w:r>
          </w:p>
        </w:tc>
        <w:tc>
          <w:tcPr>
            <w:tcW w:w="9243" w:type="dxa"/>
            <w:tcBorders>
              <w:top w:val="single" w:sz="4" w:space="0" w:color="auto"/>
              <w:left w:val="single" w:sz="4" w:space="0" w:color="auto"/>
              <w:bottom w:val="single" w:sz="4" w:space="0" w:color="auto"/>
              <w:right w:val="single" w:sz="4" w:space="0" w:color="auto"/>
            </w:tcBorders>
            <w:vAlign w:val="center"/>
          </w:tcPr>
          <w:p w:rsidR="00433C36" w:rsidRPr="00427148" w:rsidRDefault="00433C36" w:rsidP="007C1981">
            <w:pPr>
              <w:spacing w:after="60"/>
              <w:rPr>
                <w:rFonts w:cstheme="minorHAnsi"/>
                <w:sz w:val="20"/>
                <w:szCs w:val="20"/>
              </w:rPr>
            </w:pPr>
            <w:r w:rsidRPr="00427148">
              <w:rPr>
                <w:rFonts w:cstheme="minorHAnsi"/>
                <w:sz w:val="20"/>
                <w:szCs w:val="20"/>
                <w:u w:val="single"/>
              </w:rPr>
              <w:t>Approfondissement de la méthode de travail</w:t>
            </w:r>
            <w:r w:rsidRPr="00427148">
              <w:rPr>
                <w:rFonts w:cstheme="minorHAnsi"/>
                <w:sz w:val="20"/>
                <w:szCs w:val="20"/>
              </w:rPr>
              <w:t xml:space="preserve"> : </w:t>
            </w:r>
            <w:r w:rsidR="00CF6BD9" w:rsidRPr="00427148">
              <w:rPr>
                <w:rFonts w:cstheme="minorHAnsi"/>
                <w:i/>
                <w:color w:val="943634" w:themeColor="accent2" w:themeShade="BF"/>
                <w:sz w:val="20"/>
                <w:szCs w:val="20"/>
              </w:rPr>
              <w:t>parfait, présenter cela comme une décision logique des observations faites lors des entretiens, mettre l’accent sur les conséquences escomptées sur l’ingénierie de formation des différents modules/composantes, démontrer pragmatiquement pourquoi le système de « poupées russes » dans la formation des chefs d’équipe (à considérer comme un « niveau 1 » et des chefs de chantier (« niveau 2 ») ne peut pas fonctionner, en donnant des exemples pertinents issus d’observation des situations de travail.</w:t>
            </w:r>
          </w:p>
          <w:p w:rsidR="00433C36" w:rsidRPr="00427148" w:rsidRDefault="00433C36" w:rsidP="007C1981">
            <w:pPr>
              <w:spacing w:after="60"/>
              <w:rPr>
                <w:rFonts w:cstheme="minorHAnsi"/>
                <w:sz w:val="20"/>
                <w:szCs w:val="20"/>
              </w:rPr>
            </w:pPr>
            <w:r w:rsidRPr="00427148">
              <w:rPr>
                <w:rFonts w:cstheme="minorHAnsi"/>
                <w:sz w:val="20"/>
                <w:szCs w:val="20"/>
              </w:rPr>
              <w:t>- Accompagnement par une action-formation sur l’observation/analyse du travail et ingénierie de formation (IP2A, 10 jours d’analyse)</w:t>
            </w:r>
            <w:r w:rsidR="00CF6BD9" w:rsidRPr="00427148">
              <w:rPr>
                <w:rFonts w:cstheme="minorHAnsi"/>
                <w:sz w:val="20"/>
                <w:szCs w:val="20"/>
              </w:rPr>
              <w:t xml:space="preserve"> : </w:t>
            </w:r>
            <w:r w:rsidR="00CF6BD9" w:rsidRPr="00427148">
              <w:rPr>
                <w:rFonts w:cstheme="minorHAnsi"/>
                <w:i/>
                <w:color w:val="943634" w:themeColor="accent2" w:themeShade="BF"/>
                <w:sz w:val="20"/>
                <w:szCs w:val="20"/>
              </w:rPr>
              <w:t>démontrer rapidement en quoi cette formation vous aide, quel est le retour sur investissement.</w:t>
            </w:r>
          </w:p>
          <w:p w:rsidR="00433C36" w:rsidRPr="00427148" w:rsidRDefault="00433C36" w:rsidP="007C1981">
            <w:pPr>
              <w:spacing w:after="60"/>
              <w:rPr>
                <w:rFonts w:cstheme="minorHAnsi"/>
                <w:sz w:val="20"/>
                <w:szCs w:val="20"/>
              </w:rPr>
            </w:pPr>
            <w:r w:rsidRPr="00427148">
              <w:rPr>
                <w:rFonts w:cstheme="minorHAnsi"/>
                <w:sz w:val="20"/>
                <w:szCs w:val="20"/>
              </w:rPr>
              <w:t xml:space="preserve">- Présentation des </w:t>
            </w:r>
            <w:r w:rsidR="003C6497" w:rsidRPr="00427148">
              <w:rPr>
                <w:rFonts w:cstheme="minorHAnsi"/>
                <w:sz w:val="20"/>
                <w:szCs w:val="20"/>
              </w:rPr>
              <w:t>o</w:t>
            </w:r>
            <w:r w:rsidRPr="00427148">
              <w:rPr>
                <w:rFonts w:cstheme="minorHAnsi"/>
                <w:sz w:val="20"/>
                <w:szCs w:val="20"/>
              </w:rPr>
              <w:t>bjectifs de l’action-formation</w:t>
            </w:r>
            <w:r w:rsidR="00CF6BD9" w:rsidRPr="00427148">
              <w:rPr>
                <w:rFonts w:cstheme="minorHAnsi"/>
                <w:sz w:val="20"/>
                <w:szCs w:val="20"/>
              </w:rPr>
              <w:t> :</w:t>
            </w:r>
            <w:r w:rsidR="00CF6BD9" w:rsidRPr="00427148">
              <w:rPr>
                <w:rFonts w:cstheme="minorHAnsi"/>
                <w:i/>
                <w:color w:val="943634" w:themeColor="accent2" w:themeShade="BF"/>
                <w:sz w:val="20"/>
                <w:szCs w:val="20"/>
              </w:rPr>
              <w:t xml:space="preserve"> voir cela en préambule du point précédent, démontrer comment les objectifs ont évolué au fur et à mesure de l’avancement de l’action.</w:t>
            </w: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433C36" w:rsidRPr="00427148" w:rsidRDefault="00433C36" w:rsidP="007C1981">
            <w:pPr>
              <w:rPr>
                <w:rFonts w:cstheme="minorHAnsi"/>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3C36" w:rsidRPr="00427148" w:rsidRDefault="00433C36" w:rsidP="007C1981">
            <w:pPr>
              <w:rPr>
                <w:rFonts w:cstheme="minorHAnsi"/>
                <w:sz w:val="20"/>
                <w:szCs w:val="20"/>
              </w:rPr>
            </w:pPr>
          </w:p>
        </w:tc>
      </w:tr>
    </w:tbl>
    <w:p w:rsidR="00427148" w:rsidRDefault="00427148">
      <w:r>
        <w:br w:type="page"/>
      </w:r>
    </w:p>
    <w:tbl>
      <w:tblPr>
        <w:tblStyle w:val="Grilledutableau"/>
        <w:tblpPr w:leftFromText="141" w:rightFromText="141" w:vertAnchor="page" w:horzAnchor="margin" w:tblpY="2581"/>
        <w:tblW w:w="14000" w:type="dxa"/>
        <w:tblInd w:w="0" w:type="dxa"/>
        <w:tblLook w:val="04A0" w:firstRow="1" w:lastRow="0" w:firstColumn="1" w:lastColumn="0" w:noHBand="0" w:noVBand="1"/>
      </w:tblPr>
      <w:tblGrid>
        <w:gridCol w:w="1384"/>
        <w:gridCol w:w="9243"/>
        <w:gridCol w:w="1955"/>
        <w:gridCol w:w="1418"/>
      </w:tblGrid>
      <w:tr w:rsidR="007C1981" w:rsidRPr="00427148" w:rsidTr="00427148">
        <w:tc>
          <w:tcPr>
            <w:tcW w:w="1384" w:type="dxa"/>
            <w:tcBorders>
              <w:top w:val="single" w:sz="4" w:space="0" w:color="auto"/>
              <w:left w:val="single" w:sz="4" w:space="0" w:color="auto"/>
              <w:bottom w:val="single" w:sz="4" w:space="0" w:color="auto"/>
              <w:right w:val="single" w:sz="4" w:space="0" w:color="auto"/>
            </w:tcBorders>
            <w:vAlign w:val="center"/>
          </w:tcPr>
          <w:p w:rsidR="00433C36" w:rsidRPr="00427148" w:rsidRDefault="003C6497" w:rsidP="007C1981">
            <w:pPr>
              <w:rPr>
                <w:rFonts w:cstheme="minorHAnsi"/>
                <w:sz w:val="20"/>
                <w:szCs w:val="20"/>
              </w:rPr>
            </w:pPr>
            <w:r w:rsidRPr="00427148">
              <w:rPr>
                <w:rFonts w:cstheme="minorHAnsi"/>
                <w:sz w:val="20"/>
                <w:szCs w:val="20"/>
              </w:rPr>
              <w:lastRenderedPageBreak/>
              <w:t>3</w:t>
            </w:r>
            <w:r w:rsidRPr="00427148">
              <w:rPr>
                <w:rFonts w:cstheme="minorHAnsi"/>
                <w:sz w:val="20"/>
                <w:szCs w:val="20"/>
                <w:vertAlign w:val="superscript"/>
              </w:rPr>
              <w:t>ème</w:t>
            </w:r>
            <w:r w:rsidR="00427148">
              <w:rPr>
                <w:rFonts w:cstheme="minorHAnsi"/>
                <w:sz w:val="20"/>
                <w:szCs w:val="20"/>
              </w:rPr>
              <w:t xml:space="preserve"> partie</w:t>
            </w:r>
          </w:p>
        </w:tc>
        <w:tc>
          <w:tcPr>
            <w:tcW w:w="9243" w:type="dxa"/>
            <w:tcBorders>
              <w:top w:val="single" w:sz="4" w:space="0" w:color="auto"/>
              <w:left w:val="single" w:sz="4" w:space="0" w:color="auto"/>
              <w:bottom w:val="single" w:sz="4" w:space="0" w:color="auto"/>
              <w:right w:val="single" w:sz="4" w:space="0" w:color="auto"/>
            </w:tcBorders>
            <w:vAlign w:val="center"/>
          </w:tcPr>
          <w:p w:rsidR="007C1981" w:rsidRPr="00427148" w:rsidRDefault="007C1981" w:rsidP="007C1981">
            <w:pPr>
              <w:rPr>
                <w:rFonts w:cstheme="minorHAnsi"/>
                <w:sz w:val="20"/>
                <w:szCs w:val="20"/>
              </w:rPr>
            </w:pPr>
            <w:r w:rsidRPr="00427148">
              <w:rPr>
                <w:rFonts w:cstheme="minorHAnsi"/>
                <w:sz w:val="20"/>
                <w:szCs w:val="20"/>
              </w:rPr>
              <w:t>- Méthode d’identification et d’actualisation des attentes des entreprises</w:t>
            </w:r>
          </w:p>
          <w:p w:rsidR="00433C36" w:rsidRPr="00427148" w:rsidRDefault="00CF6BD9" w:rsidP="007C1981">
            <w:pPr>
              <w:rPr>
                <w:rFonts w:cstheme="minorHAnsi"/>
                <w:sz w:val="20"/>
                <w:szCs w:val="20"/>
              </w:rPr>
            </w:pPr>
            <w:r w:rsidRPr="00427148">
              <w:rPr>
                <w:rFonts w:cstheme="minorHAnsi"/>
                <w:sz w:val="20"/>
                <w:szCs w:val="20"/>
              </w:rPr>
              <w:t>- Observations retenues</w:t>
            </w:r>
          </w:p>
          <w:p w:rsidR="00CF6BD9" w:rsidRPr="00427148" w:rsidRDefault="00CF6BD9" w:rsidP="007C1981">
            <w:pPr>
              <w:rPr>
                <w:rFonts w:cstheme="minorHAnsi"/>
                <w:i/>
                <w:sz w:val="20"/>
                <w:szCs w:val="20"/>
              </w:rPr>
            </w:pPr>
            <w:r w:rsidRPr="00427148">
              <w:rPr>
                <w:rFonts w:cstheme="minorHAnsi"/>
                <w:i/>
                <w:color w:val="943634" w:themeColor="accent2" w:themeShade="BF"/>
                <w:sz w:val="20"/>
                <w:szCs w:val="20"/>
              </w:rPr>
              <w:t>Pardonne-moi mon impertinence, mais j’éliminerais cette partie, en la répartissant entre ce qui précède et ce qui suit, pour éviter les répétition et de pas tomber dans le piège des exposés trop théoriques pour nos partenaires européens qui ne sont pas du tout dans nos contextes.</w:t>
            </w:r>
          </w:p>
        </w:tc>
        <w:tc>
          <w:tcPr>
            <w:tcW w:w="1955" w:type="dxa"/>
            <w:tcBorders>
              <w:top w:val="single" w:sz="4" w:space="0" w:color="auto"/>
              <w:left w:val="single" w:sz="4" w:space="0" w:color="auto"/>
              <w:bottom w:val="single" w:sz="4" w:space="0" w:color="auto"/>
              <w:right w:val="single" w:sz="4" w:space="0" w:color="auto"/>
            </w:tcBorders>
            <w:vAlign w:val="center"/>
          </w:tcPr>
          <w:p w:rsidR="00466FA4" w:rsidRPr="00427148" w:rsidRDefault="007C1981" w:rsidP="00466FA4">
            <w:pPr>
              <w:rPr>
                <w:rFonts w:cstheme="minorHAnsi"/>
                <w:sz w:val="20"/>
                <w:szCs w:val="20"/>
              </w:rPr>
            </w:pPr>
            <w:r w:rsidRPr="00427148">
              <w:rPr>
                <w:rFonts w:cstheme="minorHAnsi"/>
                <w:sz w:val="20"/>
                <w:szCs w:val="20"/>
              </w:rPr>
              <w:t xml:space="preserve">Equipe projet locale  </w:t>
            </w:r>
          </w:p>
        </w:tc>
        <w:tc>
          <w:tcPr>
            <w:tcW w:w="1418" w:type="dxa"/>
            <w:tcBorders>
              <w:top w:val="single" w:sz="4" w:space="0" w:color="auto"/>
              <w:left w:val="single" w:sz="4" w:space="0" w:color="auto"/>
              <w:bottom w:val="single" w:sz="4" w:space="0" w:color="auto"/>
              <w:right w:val="single" w:sz="4" w:space="0" w:color="auto"/>
            </w:tcBorders>
            <w:vAlign w:val="center"/>
          </w:tcPr>
          <w:p w:rsidR="00433C36" w:rsidRPr="00427148" w:rsidRDefault="007C1981" w:rsidP="007C1981">
            <w:pPr>
              <w:rPr>
                <w:rFonts w:cstheme="minorHAnsi"/>
                <w:sz w:val="20"/>
                <w:szCs w:val="20"/>
              </w:rPr>
            </w:pPr>
            <w:r w:rsidRPr="00427148">
              <w:rPr>
                <w:rFonts w:cstheme="minorHAnsi"/>
                <w:sz w:val="20"/>
                <w:szCs w:val="20"/>
              </w:rPr>
              <w:t>20 min</w:t>
            </w:r>
          </w:p>
        </w:tc>
      </w:tr>
      <w:tr w:rsidR="007C1981" w:rsidRPr="00427148" w:rsidTr="00427148">
        <w:trPr>
          <w:trHeight w:val="947"/>
        </w:trPr>
        <w:tc>
          <w:tcPr>
            <w:tcW w:w="1384" w:type="dxa"/>
            <w:tcBorders>
              <w:top w:val="single" w:sz="4" w:space="0" w:color="auto"/>
              <w:left w:val="single" w:sz="4" w:space="0" w:color="auto"/>
              <w:bottom w:val="single" w:sz="4" w:space="0" w:color="auto"/>
              <w:right w:val="single" w:sz="4" w:space="0" w:color="auto"/>
            </w:tcBorders>
            <w:vAlign w:val="center"/>
          </w:tcPr>
          <w:p w:rsidR="007C1981" w:rsidRPr="00427148" w:rsidRDefault="007C1981" w:rsidP="007C1981">
            <w:pPr>
              <w:rPr>
                <w:rFonts w:cstheme="minorHAnsi"/>
                <w:sz w:val="20"/>
                <w:szCs w:val="20"/>
              </w:rPr>
            </w:pPr>
            <w:r w:rsidRPr="00427148">
              <w:rPr>
                <w:rFonts w:cstheme="minorHAnsi"/>
                <w:sz w:val="20"/>
                <w:szCs w:val="20"/>
              </w:rPr>
              <w:t>4</w:t>
            </w:r>
            <w:r w:rsidRPr="00427148">
              <w:rPr>
                <w:rFonts w:cstheme="minorHAnsi"/>
                <w:sz w:val="20"/>
                <w:szCs w:val="20"/>
                <w:vertAlign w:val="superscript"/>
              </w:rPr>
              <w:t>ème</w:t>
            </w:r>
            <w:r w:rsidRPr="00427148">
              <w:rPr>
                <w:rFonts w:cstheme="minorHAnsi"/>
                <w:sz w:val="20"/>
                <w:szCs w:val="20"/>
              </w:rPr>
              <w:t xml:space="preserve"> partie :</w:t>
            </w:r>
          </w:p>
        </w:tc>
        <w:tc>
          <w:tcPr>
            <w:tcW w:w="9243" w:type="dxa"/>
            <w:tcBorders>
              <w:top w:val="single" w:sz="4" w:space="0" w:color="auto"/>
              <w:left w:val="single" w:sz="4" w:space="0" w:color="auto"/>
              <w:bottom w:val="single" w:sz="4" w:space="0" w:color="auto"/>
              <w:right w:val="single" w:sz="4" w:space="0" w:color="auto"/>
            </w:tcBorders>
            <w:vAlign w:val="center"/>
          </w:tcPr>
          <w:p w:rsidR="007C1981" w:rsidRPr="00427148" w:rsidRDefault="007C1981" w:rsidP="007C1981">
            <w:pPr>
              <w:rPr>
                <w:rFonts w:cstheme="minorHAnsi"/>
                <w:sz w:val="20"/>
                <w:szCs w:val="20"/>
              </w:rPr>
            </w:pPr>
            <w:r w:rsidRPr="00427148">
              <w:rPr>
                <w:rFonts w:cstheme="minorHAnsi"/>
                <w:sz w:val="20"/>
                <w:szCs w:val="20"/>
                <w:u w:val="single"/>
              </w:rPr>
              <w:t>Pistes de travail</w:t>
            </w:r>
            <w:r w:rsidRPr="00427148">
              <w:rPr>
                <w:rFonts w:cstheme="minorHAnsi"/>
                <w:sz w:val="20"/>
                <w:szCs w:val="20"/>
              </w:rPr>
              <w:t> :</w:t>
            </w:r>
            <w:r w:rsidR="00CF6BD9" w:rsidRPr="00427148">
              <w:rPr>
                <w:rFonts w:cstheme="minorHAnsi"/>
                <w:sz w:val="20"/>
                <w:szCs w:val="20"/>
              </w:rPr>
              <w:t xml:space="preserve"> bien préciser pour arriver où ? Quel est votre objectif précis, avec quels moyens et à quel terme ?</w:t>
            </w:r>
          </w:p>
          <w:p w:rsidR="007C1981" w:rsidRPr="00427148" w:rsidRDefault="007C1981" w:rsidP="007C1981">
            <w:pPr>
              <w:rPr>
                <w:rFonts w:cstheme="minorHAnsi"/>
                <w:sz w:val="20"/>
                <w:szCs w:val="20"/>
              </w:rPr>
            </w:pPr>
            <w:r w:rsidRPr="00427148">
              <w:rPr>
                <w:rFonts w:cstheme="minorHAnsi"/>
                <w:sz w:val="20"/>
                <w:szCs w:val="20"/>
              </w:rPr>
              <w:t>- Modélisation de l’ingénierie de formation (concept de travail</w:t>
            </w:r>
            <w:r w:rsidR="00CF6BD9" w:rsidRPr="00427148">
              <w:rPr>
                <w:rFonts w:cstheme="minorHAnsi"/>
                <w:sz w:val="20"/>
                <w:szCs w:val="20"/>
              </w:rPr>
              <w:t> </w:t>
            </w:r>
            <w:r w:rsidR="00CF6BD9" w:rsidRPr="00427148">
              <w:rPr>
                <w:rFonts w:cstheme="minorHAnsi"/>
                <w:i/>
                <w:color w:val="943634" w:themeColor="accent2" w:themeShade="BF"/>
                <w:sz w:val="20"/>
                <w:szCs w:val="20"/>
              </w:rPr>
              <w:t>: je parlerais plutôt de la préparation des « modules de formation expérimentales dans le cadre des formations existantes », car cela parlera davantage au public présent, car le terme de « modélisation » peut leur faire peur, vu que ConstructyVET vise davantage un enrichissement mutuel grâce à une démarche de recherche commune plus que la construction d’un modèle ou des modèles communs</w:t>
            </w:r>
            <w:r w:rsidRPr="00427148">
              <w:rPr>
                <w:rFonts w:cstheme="minorHAnsi"/>
                <w:i/>
                <w:color w:val="943634" w:themeColor="accent2" w:themeShade="BF"/>
                <w:sz w:val="20"/>
                <w:szCs w:val="20"/>
              </w:rPr>
              <w:t>)</w:t>
            </w:r>
          </w:p>
          <w:p w:rsidR="007C1981" w:rsidRPr="00427148" w:rsidRDefault="007C1981" w:rsidP="007C1981">
            <w:pPr>
              <w:rPr>
                <w:rFonts w:cstheme="minorHAnsi"/>
                <w:sz w:val="20"/>
                <w:szCs w:val="20"/>
              </w:rPr>
            </w:pPr>
            <w:r w:rsidRPr="00427148">
              <w:rPr>
                <w:rFonts w:cstheme="minorHAnsi"/>
                <w:sz w:val="20"/>
                <w:szCs w:val="20"/>
              </w:rPr>
              <w:t>- Mise en place à expérimenter dans les BP</w:t>
            </w:r>
            <w:r w:rsidR="00CF6BD9" w:rsidRPr="00427148">
              <w:rPr>
                <w:rFonts w:cstheme="minorHAnsi"/>
                <w:sz w:val="20"/>
                <w:szCs w:val="20"/>
              </w:rPr>
              <w:t> :</w:t>
            </w:r>
            <w:r w:rsidR="00CF6BD9" w:rsidRPr="00427148">
              <w:rPr>
                <w:rFonts w:cstheme="minorHAnsi"/>
                <w:i/>
                <w:color w:val="943634" w:themeColor="accent2" w:themeShade="BF"/>
                <w:sz w:val="20"/>
                <w:szCs w:val="20"/>
              </w:rPr>
              <w:t xml:space="preserve"> </w:t>
            </w:r>
            <w:r w:rsidR="00CF6BD9" w:rsidRPr="00427148">
              <w:rPr>
                <w:rFonts w:cstheme="minorHAnsi"/>
                <w:b/>
                <w:i/>
                <w:color w:val="943634" w:themeColor="accent2" w:themeShade="BF"/>
                <w:sz w:val="20"/>
                <w:szCs w:val="20"/>
              </w:rPr>
              <w:t>cela est absolument parfait</w:t>
            </w:r>
            <w:r w:rsidR="00CF6BD9" w:rsidRPr="00427148">
              <w:rPr>
                <w:rFonts w:cstheme="minorHAnsi"/>
                <w:i/>
                <w:color w:val="943634" w:themeColor="accent2" w:themeShade="BF"/>
                <w:sz w:val="20"/>
                <w:szCs w:val="20"/>
              </w:rPr>
              <w:t xml:space="preserve">, il faut insister la dessus, cela parlera aux participants et préparer le travail prévu l’après-midi. Il faudra donner des exemples où cette expérimentation aura lieu concrètement, soyez « pratico-pratiques » et pragmatiques, identifiez les </w:t>
            </w:r>
            <w:r w:rsidR="00452649" w:rsidRPr="00427148">
              <w:rPr>
                <w:rFonts w:cstheme="minorHAnsi"/>
                <w:i/>
                <w:color w:val="943634" w:themeColor="accent2" w:themeShade="BF"/>
                <w:sz w:val="20"/>
                <w:szCs w:val="20"/>
              </w:rPr>
              <w:t>tensions potentielles, etc. Bref, démontrez concrètement en quoi consistera votre action d’expérimentation, toujours grâce à la voix des opérateurs qui seront « au charbon ».</w:t>
            </w:r>
          </w:p>
        </w:tc>
        <w:tc>
          <w:tcPr>
            <w:tcW w:w="1955" w:type="dxa"/>
            <w:tcBorders>
              <w:top w:val="single" w:sz="4" w:space="0" w:color="auto"/>
              <w:left w:val="single" w:sz="4" w:space="0" w:color="auto"/>
              <w:bottom w:val="single" w:sz="4" w:space="0" w:color="auto"/>
              <w:right w:val="single" w:sz="4" w:space="0" w:color="auto"/>
            </w:tcBorders>
            <w:vAlign w:val="center"/>
          </w:tcPr>
          <w:p w:rsidR="007C1981" w:rsidRPr="00427148" w:rsidRDefault="00427148" w:rsidP="00427148">
            <w:pPr>
              <w:rPr>
                <w:rFonts w:cstheme="minorHAnsi"/>
                <w:sz w:val="20"/>
                <w:szCs w:val="20"/>
              </w:rPr>
            </w:pPr>
            <w:r w:rsidRPr="00427148">
              <w:rPr>
                <w:rFonts w:cstheme="minorHAnsi"/>
                <w:i/>
                <w:sz w:val="20"/>
                <w:szCs w:val="20"/>
              </w:rPr>
              <w:t>F</w:t>
            </w:r>
            <w:r w:rsidR="00452649" w:rsidRPr="00427148">
              <w:rPr>
                <w:rFonts w:cstheme="minorHAnsi"/>
                <w:i/>
                <w:sz w:val="20"/>
                <w:szCs w:val="20"/>
              </w:rPr>
              <w:t>aire appel à des personnes qui peuvent s’e</w:t>
            </w:r>
            <w:r w:rsidRPr="00427148">
              <w:rPr>
                <w:rFonts w:cstheme="minorHAnsi"/>
                <w:i/>
                <w:sz w:val="20"/>
                <w:szCs w:val="20"/>
              </w:rPr>
              <w:t>xprimer directement en anglais.</w:t>
            </w:r>
          </w:p>
        </w:tc>
        <w:tc>
          <w:tcPr>
            <w:tcW w:w="1418" w:type="dxa"/>
            <w:tcBorders>
              <w:top w:val="single" w:sz="4" w:space="0" w:color="auto"/>
              <w:left w:val="single" w:sz="4" w:space="0" w:color="auto"/>
              <w:bottom w:val="single" w:sz="4" w:space="0" w:color="auto"/>
              <w:right w:val="single" w:sz="4" w:space="0" w:color="auto"/>
            </w:tcBorders>
            <w:vAlign w:val="center"/>
          </w:tcPr>
          <w:p w:rsidR="007C1981" w:rsidRPr="00427148" w:rsidRDefault="00427148" w:rsidP="00427148">
            <w:pPr>
              <w:rPr>
                <w:rFonts w:cstheme="minorHAnsi"/>
                <w:sz w:val="20"/>
                <w:szCs w:val="20"/>
              </w:rPr>
            </w:pPr>
            <w:r w:rsidRPr="00427148">
              <w:rPr>
                <w:rFonts w:cstheme="minorHAnsi"/>
                <w:sz w:val="20"/>
                <w:szCs w:val="20"/>
              </w:rPr>
              <w:t>2</w:t>
            </w:r>
            <w:r w:rsidR="007C1981" w:rsidRPr="00427148">
              <w:rPr>
                <w:rFonts w:cstheme="minorHAnsi"/>
                <w:sz w:val="20"/>
                <w:szCs w:val="20"/>
              </w:rPr>
              <w:t>0 min</w:t>
            </w:r>
          </w:p>
        </w:tc>
      </w:tr>
      <w:tr w:rsidR="007C1981" w:rsidRPr="00427148" w:rsidTr="00427148">
        <w:trPr>
          <w:trHeight w:val="409"/>
        </w:trPr>
        <w:tc>
          <w:tcPr>
            <w:tcW w:w="1384" w:type="dxa"/>
            <w:tcBorders>
              <w:top w:val="single" w:sz="4" w:space="0" w:color="auto"/>
              <w:left w:val="single" w:sz="4" w:space="0" w:color="auto"/>
              <w:bottom w:val="single" w:sz="4" w:space="0" w:color="auto"/>
              <w:right w:val="single" w:sz="4" w:space="0" w:color="auto"/>
            </w:tcBorders>
            <w:vAlign w:val="center"/>
          </w:tcPr>
          <w:p w:rsidR="007C1981" w:rsidRPr="00427148" w:rsidRDefault="007C1981" w:rsidP="007C1981">
            <w:pPr>
              <w:rPr>
                <w:rFonts w:cstheme="minorHAnsi"/>
                <w:sz w:val="20"/>
                <w:szCs w:val="20"/>
              </w:rPr>
            </w:pPr>
          </w:p>
        </w:tc>
        <w:tc>
          <w:tcPr>
            <w:tcW w:w="9243" w:type="dxa"/>
            <w:tcBorders>
              <w:top w:val="single" w:sz="4" w:space="0" w:color="auto"/>
              <w:left w:val="single" w:sz="4" w:space="0" w:color="auto"/>
              <w:bottom w:val="single" w:sz="4" w:space="0" w:color="auto"/>
              <w:right w:val="single" w:sz="4" w:space="0" w:color="auto"/>
            </w:tcBorders>
            <w:vAlign w:val="center"/>
          </w:tcPr>
          <w:p w:rsidR="007C1981" w:rsidRPr="00427148" w:rsidRDefault="007C1981" w:rsidP="00427148">
            <w:pPr>
              <w:rPr>
                <w:rFonts w:cstheme="minorHAnsi"/>
                <w:sz w:val="20"/>
                <w:szCs w:val="20"/>
              </w:rPr>
            </w:pPr>
            <w:r w:rsidRPr="00427148">
              <w:rPr>
                <w:rFonts w:cstheme="minorHAnsi"/>
                <w:sz w:val="20"/>
                <w:szCs w:val="20"/>
              </w:rPr>
              <w:t>Discussion</w:t>
            </w:r>
            <w:r w:rsidR="00452649" w:rsidRPr="00427148">
              <w:rPr>
                <w:rFonts w:cstheme="minorHAnsi"/>
                <w:sz w:val="20"/>
                <w:szCs w:val="20"/>
              </w:rPr>
              <w:t xml:space="preserve"> : </w:t>
            </w:r>
            <w:r w:rsidR="00452649" w:rsidRPr="00427148">
              <w:rPr>
                <w:rFonts w:cstheme="minorHAnsi"/>
                <w:i/>
                <w:color w:val="943634" w:themeColor="accent2" w:themeShade="BF"/>
                <w:sz w:val="20"/>
                <w:szCs w:val="20"/>
              </w:rPr>
              <w:t>en définitive, il faut casser la présentation en partie</w:t>
            </w:r>
            <w:r w:rsidR="00427148" w:rsidRPr="00427148">
              <w:rPr>
                <w:rFonts w:cstheme="minorHAnsi"/>
                <w:i/>
                <w:color w:val="943634" w:themeColor="accent2" w:themeShade="BF"/>
                <w:sz w:val="20"/>
                <w:szCs w:val="20"/>
              </w:rPr>
              <w:t>s « exposé » et « discussion »</w:t>
            </w:r>
          </w:p>
        </w:tc>
        <w:tc>
          <w:tcPr>
            <w:tcW w:w="1955" w:type="dxa"/>
            <w:tcBorders>
              <w:top w:val="single" w:sz="4" w:space="0" w:color="auto"/>
              <w:left w:val="single" w:sz="4" w:space="0" w:color="auto"/>
              <w:bottom w:val="single" w:sz="4" w:space="0" w:color="auto"/>
              <w:right w:val="single" w:sz="4" w:space="0" w:color="auto"/>
            </w:tcBorders>
            <w:vAlign w:val="center"/>
          </w:tcPr>
          <w:p w:rsidR="007C1981" w:rsidRPr="00427148" w:rsidRDefault="007C1981" w:rsidP="007C1981">
            <w:pP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C1981" w:rsidRPr="00427148" w:rsidRDefault="00427148" w:rsidP="007C1981">
            <w:pPr>
              <w:rPr>
                <w:rFonts w:cstheme="minorHAnsi"/>
                <w:sz w:val="20"/>
                <w:szCs w:val="20"/>
              </w:rPr>
            </w:pPr>
            <w:r w:rsidRPr="00427148">
              <w:rPr>
                <w:rFonts w:cstheme="minorHAnsi"/>
                <w:sz w:val="20"/>
                <w:szCs w:val="20"/>
              </w:rPr>
              <w:t>2</w:t>
            </w:r>
            <w:r w:rsidR="007C1981" w:rsidRPr="00427148">
              <w:rPr>
                <w:rFonts w:cstheme="minorHAnsi"/>
                <w:sz w:val="20"/>
                <w:szCs w:val="20"/>
              </w:rPr>
              <w:t>0 min</w:t>
            </w:r>
          </w:p>
        </w:tc>
      </w:tr>
    </w:tbl>
    <w:p w:rsidR="007C1981" w:rsidRDefault="007C1981"/>
    <w:p w:rsidR="00427148" w:rsidRDefault="00427148">
      <w:r>
        <w:rPr>
          <w:rFonts w:ascii="Calibri" w:hAnsi="Calibri"/>
          <w:noProof/>
          <w:color w:val="0070C0"/>
          <w:sz w:val="18"/>
          <w:szCs w:val="18"/>
          <w:lang w:eastAsia="fr-FR"/>
        </w:rPr>
        <w:drawing>
          <wp:anchor distT="0" distB="0" distL="114300" distR="114300" simplePos="0" relativeHeight="251660288" behindDoc="0" locked="0" layoutInCell="1" allowOverlap="1" wp14:anchorId="192912BF" wp14:editId="57C0F583">
            <wp:simplePos x="0" y="0"/>
            <wp:positionH relativeFrom="margin">
              <wp:align>center</wp:align>
            </wp:positionH>
            <wp:positionV relativeFrom="paragraph">
              <wp:posOffset>222664</wp:posOffset>
            </wp:positionV>
            <wp:extent cx="2021205" cy="440055"/>
            <wp:effectExtent l="0" t="0" r="0" b="0"/>
            <wp:wrapSquare wrapText="bothSides"/>
            <wp:docPr id="3" name="Image 3"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01  JPG - Logo_ConstructyVet_RVB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205" cy="440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148" w:rsidSect="007C198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49" w:rsidRDefault="00452649" w:rsidP="00452649">
      <w:r>
        <w:separator/>
      </w:r>
    </w:p>
  </w:endnote>
  <w:endnote w:type="continuationSeparator" w:id="0">
    <w:p w:rsidR="00452649" w:rsidRDefault="00452649" w:rsidP="0045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7B" w:rsidRDefault="002417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7B" w:rsidRDefault="002417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7B" w:rsidRDefault="002417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49" w:rsidRDefault="00452649" w:rsidP="00452649">
      <w:r>
        <w:separator/>
      </w:r>
    </w:p>
  </w:footnote>
  <w:footnote w:type="continuationSeparator" w:id="0">
    <w:p w:rsidR="00452649" w:rsidRDefault="00452649" w:rsidP="0045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7B" w:rsidRDefault="002417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2719"/>
      <w:docPartObj>
        <w:docPartGallery w:val="Page Numbers (Margins)"/>
        <w:docPartUnique/>
      </w:docPartObj>
    </w:sdtPr>
    <w:sdtEndPr/>
    <w:sdtContent>
      <w:p w:rsidR="0024177B" w:rsidRDefault="0024177B">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4177B" w:rsidRDefault="0024177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A4102" w:rsidRPr="00DA410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4177B" w:rsidRDefault="0024177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A4102" w:rsidRPr="00DA410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7B" w:rsidRDefault="002417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C7E"/>
    <w:multiLevelType w:val="hybridMultilevel"/>
    <w:tmpl w:val="D576ADE8"/>
    <w:lvl w:ilvl="0" w:tplc="540009D0">
      <w:start w:val="26"/>
      <w:numFmt w:val="bullet"/>
      <w:lvlText w:val="-"/>
      <w:lvlJc w:val="left"/>
      <w:pPr>
        <w:ind w:left="2055" w:hanging="360"/>
      </w:pPr>
      <w:rPr>
        <w:rFonts w:ascii="Calibri" w:eastAsiaTheme="minorHAnsi" w:hAnsi="Calibri" w:cstheme="minorBidi"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36"/>
    <w:rsid w:val="0024177B"/>
    <w:rsid w:val="002D1691"/>
    <w:rsid w:val="003821F5"/>
    <w:rsid w:val="003C6497"/>
    <w:rsid w:val="003F0043"/>
    <w:rsid w:val="00427148"/>
    <w:rsid w:val="00433C36"/>
    <w:rsid w:val="00452649"/>
    <w:rsid w:val="00466FA4"/>
    <w:rsid w:val="005F7C53"/>
    <w:rsid w:val="00747187"/>
    <w:rsid w:val="007C1981"/>
    <w:rsid w:val="00CF6BD9"/>
    <w:rsid w:val="00DA4102"/>
    <w:rsid w:val="00E02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2E2115-D4E9-4162-9964-D4D82B3F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3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33C3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433C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CF6BD9"/>
    <w:pPr>
      <w:spacing w:after="160" w:line="259" w:lineRule="auto"/>
      <w:ind w:left="720"/>
      <w:contextualSpacing/>
    </w:pPr>
  </w:style>
  <w:style w:type="paragraph" w:styleId="En-tte">
    <w:name w:val="header"/>
    <w:basedOn w:val="Normal"/>
    <w:link w:val="En-tteCar"/>
    <w:uiPriority w:val="99"/>
    <w:unhideWhenUsed/>
    <w:rsid w:val="00452649"/>
    <w:pPr>
      <w:tabs>
        <w:tab w:val="center" w:pos="4536"/>
        <w:tab w:val="right" w:pos="9072"/>
      </w:tabs>
    </w:pPr>
  </w:style>
  <w:style w:type="character" w:customStyle="1" w:styleId="En-tteCar">
    <w:name w:val="En-tête Car"/>
    <w:basedOn w:val="Policepardfaut"/>
    <w:link w:val="En-tte"/>
    <w:uiPriority w:val="99"/>
    <w:rsid w:val="00452649"/>
  </w:style>
  <w:style w:type="paragraph" w:styleId="Pieddepage">
    <w:name w:val="footer"/>
    <w:basedOn w:val="Normal"/>
    <w:link w:val="PieddepageCar"/>
    <w:uiPriority w:val="99"/>
    <w:unhideWhenUsed/>
    <w:rsid w:val="00452649"/>
    <w:pPr>
      <w:tabs>
        <w:tab w:val="center" w:pos="4536"/>
        <w:tab w:val="right" w:pos="9072"/>
      </w:tabs>
    </w:pPr>
  </w:style>
  <w:style w:type="character" w:customStyle="1" w:styleId="PieddepageCar">
    <w:name w:val="Pied de page Car"/>
    <w:basedOn w:val="Policepardfaut"/>
    <w:link w:val="Pieddepage"/>
    <w:uiPriority w:val="99"/>
    <w:rsid w:val="0045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LAWINSKI Marek</cp:lastModifiedBy>
  <cp:revision>2</cp:revision>
  <dcterms:created xsi:type="dcterms:W3CDTF">2018-10-24T07:06:00Z</dcterms:created>
  <dcterms:modified xsi:type="dcterms:W3CDTF">2018-10-24T07:06:00Z</dcterms:modified>
</cp:coreProperties>
</file>